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A22C8DA" w:rsidR="006A6CA2" w:rsidRDefault="0079127C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88B7CA0" w:rsidR="00285234" w:rsidRPr="005D5AD6" w:rsidRDefault="00C66B0A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88B7CA0" w:rsidR="00285234" w:rsidRPr="005D5AD6" w:rsidRDefault="00C66B0A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3803760">
                <wp:simplePos x="0" y="0"/>
                <wp:positionH relativeFrom="column">
                  <wp:posOffset>1242</wp:posOffset>
                </wp:positionH>
                <wp:positionV relativeFrom="page">
                  <wp:posOffset>3713259</wp:posOffset>
                </wp:positionV>
                <wp:extent cx="2552065" cy="1287780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4F8696E" w:rsidR="00285234" w:rsidRPr="00555F5E" w:rsidRDefault="00285234" w:rsidP="00801B4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муниципальной программы Добрянского </w:t>
                            </w:r>
                            <w:r w:rsidRPr="00801B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B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«Функционирование 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B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развитие системы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7" type="#_x0000_t202" style="position:absolute;left:0;text-align:left;margin-left:.1pt;margin-top:292.4pt;width:200.9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" filled="f" stroked="f" strokeweight=".5pt">
                <v:textbox>
                  <w:txbxContent>
                    <w:p w14:paraId="748E657F" w14:textId="04F8696E" w:rsidR="00285234" w:rsidRPr="00555F5E" w:rsidRDefault="00285234" w:rsidP="00801B4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Об утверждении муниципальной программы Добрянского </w:t>
                      </w:r>
                      <w:r w:rsidRPr="00801B4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01B4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«Функционирование 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01B4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развитие системы образования»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7DD4D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C136725" w:rsidR="00285234" w:rsidRPr="005D5AD6" w:rsidRDefault="00C66B0A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8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" filled="f" stroked="f" strokeweight=".5pt">
                <v:textbox>
                  <w:txbxContent>
                    <w:p w14:paraId="47D1673F" w14:textId="2C136725" w:rsidR="00285234" w:rsidRPr="005D5AD6" w:rsidRDefault="00C66B0A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75600" w14:textId="77777777" w:rsidR="00285234" w:rsidRDefault="00285234" w:rsidP="0028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B3DAA" w14:textId="2B16CEE0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В соответствии с пунктом 2 статьи 11 Положения о бюджетном процессе в Добрянском городском округе, утвержденного решением Думы Добрянского городского округа от 25 февраля 2020 г. № 146, пунктам</w:t>
      </w:r>
      <w:bookmarkStart w:id="0" w:name="_GoBack"/>
      <w:bookmarkEnd w:id="0"/>
      <w:r w:rsidRPr="00801B40">
        <w:rPr>
          <w:rFonts w:ascii="Times New Roman" w:hAnsi="Times New Roman" w:cs="Times New Roman"/>
          <w:sz w:val="28"/>
          <w:szCs w:val="28"/>
        </w:rPr>
        <w:t xml:space="preserve">и 4.1-4.10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распоряжением администрации Добрянского городского округа от 30 мая 2022 г. № 176-р «Об утверждении Перечня муниципальных программ Добрянского городского округа на 2023-2025 годы», распоряжением администрации Добрянского городского округа от 10 июня </w:t>
      </w:r>
      <w:r w:rsidR="00B62E94">
        <w:rPr>
          <w:rFonts w:ascii="Times New Roman" w:hAnsi="Times New Roman" w:cs="Times New Roman"/>
          <w:sz w:val="28"/>
          <w:szCs w:val="28"/>
        </w:rPr>
        <w:br/>
      </w:r>
      <w:r w:rsidRPr="00801B40">
        <w:rPr>
          <w:rFonts w:ascii="Times New Roman" w:hAnsi="Times New Roman" w:cs="Times New Roman"/>
          <w:sz w:val="28"/>
          <w:szCs w:val="28"/>
        </w:rPr>
        <w:t>2022 г. № 194-р «Об утверждении плана мероприятий по подготовке проекта бюджета Добрянского городского округа на 2023 год и на плановый период 2024-2025 годов», в целях формирования проекта бюджета Добрянского городского округа на 2023 год и плановый период 2024-2025 годов</w:t>
      </w:r>
    </w:p>
    <w:p w14:paraId="0FA98F1B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801B40">
        <w:rPr>
          <w:rFonts w:ascii="Times New Roman" w:hAnsi="Times New Roman" w:cs="Times New Roman"/>
          <w:sz w:val="28"/>
          <w:szCs w:val="28"/>
          <w:lang w:val="x-none" w:eastAsia="en-US"/>
        </w:rPr>
        <w:t>ПОСТАНОВЛЯЕТ:</w:t>
      </w:r>
      <w:r w:rsidRPr="00801B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6E3CB4F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>1. Утвердить прилагаемую муниципальную программу Добрянского городского округа «Функционирование и развитие системы образования».</w:t>
      </w:r>
    </w:p>
    <w:p w14:paraId="1BFB8100" w14:textId="389A99FC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2.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периодическом печатном издании </w:t>
      </w:r>
      <w:r w:rsidR="00B62E94">
        <w:rPr>
          <w:rFonts w:ascii="Times New Roman" w:hAnsi="Times New Roman" w:cs="Times New Roman"/>
          <w:sz w:val="28"/>
          <w:szCs w:val="28"/>
        </w:rPr>
        <w:t xml:space="preserve">-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газете «</w:t>
      </w:r>
      <w:r w:rsidR="00B62E94">
        <w:rPr>
          <w:rFonts w:ascii="Times New Roman" w:hAnsi="Times New Roman" w:cs="Times New Roman"/>
          <w:sz w:val="28"/>
          <w:szCs w:val="28"/>
        </w:rPr>
        <w:t>Пермь-Добрянка.ру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A9094AD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14:paraId="37A462C0" w14:textId="77777777" w:rsidR="00801B40" w:rsidRPr="00801B40" w:rsidRDefault="00801B40" w:rsidP="0028523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6D388A" w14:textId="77777777" w:rsidR="00801B40" w:rsidRPr="00801B40" w:rsidRDefault="00801B40" w:rsidP="0028523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1EE956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>Глава городского округа –</w:t>
      </w:r>
    </w:p>
    <w:p w14:paraId="29EA74F7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 Добрянского</w:t>
      </w:r>
    </w:p>
    <w:p w14:paraId="2295F0B6" w14:textId="77777777" w:rsidR="00801B40" w:rsidRPr="00801B40" w:rsidRDefault="00801B40" w:rsidP="0028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Pr="00801B40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                                      </w:t>
      </w:r>
      <w:r w:rsidRPr="00801B40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801B40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                     </w:t>
      </w:r>
      <w:r w:rsidRPr="00801B40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801B40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     </w:t>
      </w:r>
      <w:r w:rsidRPr="00801B40">
        <w:rPr>
          <w:rFonts w:ascii="Times New Roman" w:hAnsi="Times New Roman" w:cs="Times New Roman"/>
          <w:sz w:val="28"/>
          <w:szCs w:val="28"/>
          <w:lang w:eastAsia="en-US"/>
        </w:rPr>
        <w:t>К.В. Лызов</w:t>
      </w:r>
      <w:r w:rsidRPr="00801B40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14:paraId="6D404CCF" w14:textId="77777777" w:rsidR="00801B40" w:rsidRPr="00801B40" w:rsidRDefault="00801B40" w:rsidP="002852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br w:type="page"/>
      </w:r>
      <w:r w:rsidRPr="00801B4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6CF811B" w14:textId="77777777" w:rsidR="00801B40" w:rsidRPr="00801B40" w:rsidRDefault="00801B40" w:rsidP="002852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198D5D4" w14:textId="77777777" w:rsidR="00801B40" w:rsidRPr="00801B40" w:rsidRDefault="00801B40" w:rsidP="002852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0F500ADF" w14:textId="77777777" w:rsidR="00801B40" w:rsidRPr="00801B40" w:rsidRDefault="00801B40" w:rsidP="002852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от                              № </w:t>
      </w:r>
      <w:r w:rsidRPr="00801B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BDD35F" w14:textId="77777777" w:rsidR="00801B40" w:rsidRPr="00801B40" w:rsidRDefault="00801B40" w:rsidP="0028523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6962AC7D" w14:textId="77777777" w:rsidR="00801B40" w:rsidRPr="00801B40" w:rsidRDefault="00801B40" w:rsidP="0028523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9803478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6699924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</w:rPr>
        <w:t>Добрянского городского округа</w:t>
      </w:r>
    </w:p>
    <w:p w14:paraId="6C24C0BC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</w:rPr>
        <w:t>«Функционирование и развитие системы образования»</w:t>
      </w:r>
    </w:p>
    <w:p w14:paraId="5902D126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</w:rPr>
        <w:tab/>
      </w:r>
    </w:p>
    <w:p w14:paraId="5C1E8B86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1ADB8307" w14:textId="77777777" w:rsidR="00801B40" w:rsidRPr="00801B40" w:rsidRDefault="00801B40" w:rsidP="00285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723E53DE" w14:textId="77777777" w:rsidR="00801B40" w:rsidRPr="00801B40" w:rsidRDefault="00801B40" w:rsidP="00285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</w:p>
    <w:p w14:paraId="5C2471EB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801B40">
        <w:rPr>
          <w:rFonts w:ascii="Times New Roman" w:hAnsi="Times New Roman" w:cs="Times New Roman"/>
          <w:sz w:val="20"/>
          <w:szCs w:val="20"/>
          <w:lang w:eastAsia="en-US"/>
        </w:rPr>
        <w:t>полное наименование муниципальной программы</w:t>
      </w:r>
    </w:p>
    <w:p w14:paraId="7D333163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</w:p>
    <w:p w14:paraId="2FFAAE2F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01B40" w:rsidRPr="00801B40" w14:paraId="7B6E1D86" w14:textId="77777777" w:rsidTr="00402AF0">
        <w:tc>
          <w:tcPr>
            <w:tcW w:w="1985" w:type="dxa"/>
          </w:tcPr>
          <w:p w14:paraId="3EF9076F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Руководитель программы</w:t>
            </w:r>
          </w:p>
          <w:p w14:paraId="729EF64D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575BE507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801B40" w:rsidRPr="00801B40" w14:paraId="1D62CFF7" w14:textId="77777777" w:rsidTr="00402AF0">
        <w:tc>
          <w:tcPr>
            <w:tcW w:w="1985" w:type="dxa"/>
          </w:tcPr>
          <w:p w14:paraId="4A6F91AB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14:paraId="35342DDB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2DCFF124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Начальник управления образования администрации Добрянского городского округа</w:t>
            </w:r>
          </w:p>
        </w:tc>
      </w:tr>
      <w:tr w:rsidR="00801B40" w:rsidRPr="00801B40" w14:paraId="3467BDE7" w14:textId="77777777" w:rsidTr="00402AF0">
        <w:tc>
          <w:tcPr>
            <w:tcW w:w="1985" w:type="dxa"/>
          </w:tcPr>
          <w:p w14:paraId="72D1010E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Соисполнители программы            </w:t>
            </w:r>
          </w:p>
          <w:p w14:paraId="57227D7B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6134BA36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Администрация Добрянского городского округа;</w:t>
            </w:r>
          </w:p>
          <w:p w14:paraId="3ED8A45A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Управление финансов и казначейства администрации Добрянского городского округа;</w:t>
            </w:r>
          </w:p>
          <w:p w14:paraId="1825D868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Добрянского городского округа;</w:t>
            </w:r>
          </w:p>
          <w:p w14:paraId="7EEBBABC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Управление социального развития администрации Добрянского городского округа</w:t>
            </w:r>
          </w:p>
        </w:tc>
      </w:tr>
      <w:tr w:rsidR="00801B40" w:rsidRPr="00801B40" w14:paraId="498B5BA7" w14:textId="77777777" w:rsidTr="00402AF0">
        <w:tc>
          <w:tcPr>
            <w:tcW w:w="1985" w:type="dxa"/>
          </w:tcPr>
          <w:p w14:paraId="0AED0749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Участники программы                </w:t>
            </w:r>
          </w:p>
          <w:p w14:paraId="423D301F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406BDC5E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МКУ «Добрянское имущественное казначейство»;</w:t>
            </w:r>
          </w:p>
          <w:p w14:paraId="04F1EA74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МКУ «Управление капитального строительства»;</w:t>
            </w:r>
          </w:p>
          <w:p w14:paraId="4FBC119F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МКУ «Единый центр учета и отчетности»;</w:t>
            </w:r>
          </w:p>
          <w:p w14:paraId="7CFCE46A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Образовательные учреждения Добрянского городского округа;</w:t>
            </w:r>
          </w:p>
          <w:p w14:paraId="0CD3A6AE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Учреждения культуры Добрянского городского округа;</w:t>
            </w:r>
          </w:p>
          <w:p w14:paraId="2EAE118B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Учреждения дополнительного образования Добрянского городского округа</w:t>
            </w:r>
          </w:p>
          <w:p w14:paraId="66E3BB0A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Учреждения спортивной подготовки Добрянского городского округа</w:t>
            </w:r>
          </w:p>
        </w:tc>
      </w:tr>
      <w:tr w:rsidR="00801B40" w:rsidRPr="00801B40" w14:paraId="4A8F61E0" w14:textId="77777777" w:rsidTr="00402AF0">
        <w:tc>
          <w:tcPr>
            <w:tcW w:w="1985" w:type="dxa"/>
          </w:tcPr>
          <w:p w14:paraId="0247FA87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Этапы и сроки реализации программы </w:t>
            </w:r>
          </w:p>
        </w:tc>
        <w:tc>
          <w:tcPr>
            <w:tcW w:w="8221" w:type="dxa"/>
          </w:tcPr>
          <w:p w14:paraId="1E62ACE4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2023-2025 годы без выделения этапов</w:t>
            </w:r>
          </w:p>
        </w:tc>
      </w:tr>
      <w:tr w:rsidR="00801B40" w:rsidRPr="00801B40" w14:paraId="7F6E70C3" w14:textId="77777777" w:rsidTr="00402AF0">
        <w:tc>
          <w:tcPr>
            <w:tcW w:w="1985" w:type="dxa"/>
          </w:tcPr>
          <w:p w14:paraId="79AA9DF2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1. Цель программы                     </w:t>
            </w:r>
          </w:p>
          <w:p w14:paraId="217A495F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6B5D901C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801B40" w:rsidRPr="00801B40" w14:paraId="74A2153F" w14:textId="77777777" w:rsidTr="00402AF0">
        <w:tc>
          <w:tcPr>
            <w:tcW w:w="1985" w:type="dxa"/>
          </w:tcPr>
          <w:p w14:paraId="4AE8ECF0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1. Задача программы                   </w:t>
            </w:r>
          </w:p>
          <w:p w14:paraId="64D69604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174607B3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траекторий,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801B40" w:rsidRPr="00801B40" w14:paraId="2470C624" w14:textId="77777777" w:rsidTr="00402AF0">
        <w:tc>
          <w:tcPr>
            <w:tcW w:w="10206" w:type="dxa"/>
            <w:gridSpan w:val="2"/>
          </w:tcPr>
          <w:tbl>
            <w:tblPr>
              <w:tblW w:w="1028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851"/>
              <w:gridCol w:w="708"/>
              <w:gridCol w:w="1276"/>
              <w:gridCol w:w="691"/>
              <w:gridCol w:w="708"/>
              <w:gridCol w:w="851"/>
              <w:gridCol w:w="2144"/>
            </w:tblGrid>
            <w:tr w:rsidR="00801B40" w:rsidRPr="00801B40" w14:paraId="76DE686F" w14:textId="77777777" w:rsidTr="00402AF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60D1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 xml:space="preserve">№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036B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целевого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054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Еди-ница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измерения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B9907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F6C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Значение целевого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показателя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на начало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реализации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программы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2159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Плановое значение 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2322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Ожидаемые результаты реализации    </w:t>
                  </w:r>
                </w:p>
                <w:p w14:paraId="7DBA807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программы                        </w:t>
                  </w:r>
                </w:p>
              </w:tc>
            </w:tr>
            <w:tr w:rsidR="00801B40" w:rsidRPr="00801B40" w14:paraId="0269C2D3" w14:textId="77777777" w:rsidTr="00402AF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9599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EEC0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1407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2644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EC6B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7E7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3BF6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3AB0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2025 г.</w:t>
                  </w:r>
                </w:p>
              </w:tc>
              <w:tc>
                <w:tcPr>
                  <w:tcW w:w="21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47A0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1B40" w:rsidRPr="00801B40" w14:paraId="78014DC9" w14:textId="77777777" w:rsidTr="00402AF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3C43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2D5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6E6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430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70BF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2A5B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7D6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BD8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460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1B40" w:rsidRPr="00801B40" w14:paraId="7CA91CC5" w14:textId="77777777" w:rsidTr="00402AF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210A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5C19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9F6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06C0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CB7D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103,5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553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4B54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BF72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2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67FF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 </w:t>
                  </w:r>
                </w:p>
              </w:tc>
            </w:tr>
            <w:tr w:rsidR="00801B40" w:rsidRPr="00801B40" w14:paraId="5DFC6FBC" w14:textId="77777777" w:rsidTr="00402AF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1A8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B4D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7F7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CC4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BE6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109,0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E7E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7AF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1A7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2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8504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      </w:r>
                </w:p>
              </w:tc>
            </w:tr>
            <w:tr w:rsidR="00801B40" w:rsidRPr="00801B40" w14:paraId="70D26ED4" w14:textId="77777777" w:rsidTr="00402AF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652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50B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8ED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071B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7C44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109,3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2FF7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456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85DF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FB1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</w:t>
                  </w: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городском округе, 100%</w:t>
                  </w:r>
                </w:p>
              </w:tc>
            </w:tr>
            <w:tr w:rsidR="00801B40" w:rsidRPr="00801B40" w14:paraId="25DCD021" w14:textId="77777777" w:rsidTr="00402AF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2B42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6F14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выпускников, получивших аттестат о среднем общем образовании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1E1F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9A8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FEAE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AE0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97,0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4851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126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98,0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0E9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выпускников 11 классов, получивших аттестат о среднем общем образовании, до 98%</w:t>
                  </w:r>
                </w:p>
              </w:tc>
            </w:tr>
            <w:tr w:rsidR="00801B40" w:rsidRPr="00801B40" w14:paraId="5311100F" w14:textId="77777777" w:rsidTr="00402AF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95AB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987A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Удельный вес численности педагогов округа в возрасте до 35 лет в общей численности педагогического состава 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4F5F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F3B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DF43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BCA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FDA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FFFF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18,3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AEDC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численности педагогов округа в возрасте до 35 лет в общей численности педагогического состава образовательных организаций до 18,3%</w:t>
                  </w:r>
                </w:p>
              </w:tc>
            </w:tr>
            <w:tr w:rsidR="00801B40" w:rsidRPr="00801B40" w14:paraId="2019C519" w14:textId="77777777" w:rsidTr="00402AF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1F9B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5113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2F00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F367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C7E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83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7120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BFF6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57,0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29A6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57%</w:t>
                  </w:r>
                </w:p>
              </w:tc>
            </w:tr>
            <w:tr w:rsidR="00801B40" w:rsidRPr="00801B40" w14:paraId="345F4F80" w14:textId="77777777" w:rsidTr="00402AF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1EF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674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74F2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AF9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A87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EC2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49B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9D2F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0335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      </w:r>
                </w:p>
              </w:tc>
            </w:tr>
          </w:tbl>
          <w:p w14:paraId="4779BDBD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07912D89" w14:textId="77777777" w:rsidTr="00402AF0">
        <w:trPr>
          <w:trHeight w:val="567"/>
        </w:trPr>
        <w:tc>
          <w:tcPr>
            <w:tcW w:w="1985" w:type="dxa"/>
          </w:tcPr>
          <w:p w14:paraId="156E1BB0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lastRenderedPageBreak/>
              <w:t xml:space="preserve">2. Задача программы                   </w:t>
            </w:r>
          </w:p>
        </w:tc>
        <w:tc>
          <w:tcPr>
            <w:tcW w:w="8221" w:type="dxa"/>
          </w:tcPr>
          <w:p w14:paraId="3C28E2CA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801B40" w:rsidRPr="00801B40" w14:paraId="363CE01E" w14:textId="77777777" w:rsidTr="00402AF0">
        <w:trPr>
          <w:trHeight w:val="1447"/>
        </w:trPr>
        <w:tc>
          <w:tcPr>
            <w:tcW w:w="10206" w:type="dxa"/>
            <w:gridSpan w:val="2"/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98"/>
              <w:gridCol w:w="851"/>
              <w:gridCol w:w="708"/>
              <w:gridCol w:w="851"/>
              <w:gridCol w:w="992"/>
              <w:gridCol w:w="1134"/>
              <w:gridCol w:w="851"/>
              <w:gridCol w:w="1842"/>
            </w:tblGrid>
            <w:tr w:rsidR="00801B40" w:rsidRPr="00801B40" w14:paraId="51438358" w14:textId="77777777" w:rsidTr="00402AF0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CA58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 xml:space="preserve">№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п/п</w:t>
                  </w:r>
                </w:p>
              </w:tc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08B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целевого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2021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Еди-ница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измерения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86B7A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055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Значение целевого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показателя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на начало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реализации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программы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7D6B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Плановое значение 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75161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Ожидаемые результаты реализации    </w:t>
                  </w:r>
                </w:p>
                <w:p w14:paraId="2BDCD0D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программы                        </w:t>
                  </w:r>
                </w:p>
              </w:tc>
            </w:tr>
            <w:tr w:rsidR="00801B40" w:rsidRPr="00801B40" w14:paraId="4D9E641F" w14:textId="77777777" w:rsidTr="00402AF0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2A14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1361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1DB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2F8D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1ECE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6A2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4D4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B6D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2025 г.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1419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1B40" w:rsidRPr="00801B40" w14:paraId="37C9891A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D56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7A1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C50E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8616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315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96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219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ED7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B481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1B40" w:rsidRPr="00801B40" w14:paraId="78BCB5C1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86D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A71CB" w14:textId="021B5E2F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Доля </w:t>
                  </w:r>
                  <w:r w:rsidR="005B2C39">
                    <w:rPr>
                      <w:rFonts w:ascii="Times New Roman" w:hAnsi="Times New Roman" w:cs="Times New Roman"/>
                    </w:rPr>
                    <w:t>обучающихся</w:t>
                  </w:r>
                  <w:r w:rsidRPr="00801B40">
                    <w:rPr>
                      <w:rFonts w:ascii="Times New Roman" w:hAnsi="Times New Roman" w:cs="Times New Roman"/>
                    </w:rPr>
                    <w:t xml:space="preserve"> в возрасте с 7 до 18 лет, не совершивших преступления и общественно-опасные деяния, в общей численности обучающихся по образовательным программам в образовательных организациях, подведомственных управлению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5F7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7FE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47D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7EB6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EC8A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913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96,0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DFAD" w14:textId="19978524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Увеличение доли </w:t>
                  </w:r>
                  <w:r w:rsidR="005B2C39">
                    <w:rPr>
                      <w:rFonts w:ascii="Times New Roman" w:hAnsi="Times New Roman" w:cs="Times New Roman"/>
                    </w:rPr>
                    <w:t>обучающихся</w:t>
                  </w:r>
                  <w:r w:rsidR="005B2C39" w:rsidRPr="00801B40">
                    <w:rPr>
                      <w:rFonts w:ascii="Times New Roman" w:hAnsi="Times New Roman" w:cs="Times New Roman"/>
                    </w:rPr>
                    <w:t xml:space="preserve"> в возрасте с 7 до 18 лет, не совершивших преступления и общественно-опасные деяния, в общей численности обучающихся по образовательным программам в образовательных организациях, подведомственных управлению образования</w:t>
                  </w:r>
                  <w:r w:rsidRPr="00801B40">
                    <w:rPr>
                      <w:rFonts w:ascii="Times New Roman" w:hAnsi="Times New Roman" w:cs="Times New Roman"/>
                    </w:rPr>
                    <w:t>, до 96%</w:t>
                  </w:r>
                </w:p>
              </w:tc>
            </w:tr>
            <w:tr w:rsidR="00801B40" w:rsidRPr="00801B40" w14:paraId="392BBD9C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990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12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детей, охваченных образовательными программами дополнительного образования детей от общей численности детей и молодежи в возрасте 5-18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56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DDF1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4D1B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E618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32A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98C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FB05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      </w:r>
                </w:p>
              </w:tc>
            </w:tr>
            <w:tr w:rsidR="00801B40" w:rsidRPr="00801B40" w14:paraId="1AAE07D3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5EDA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F8C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обучающихся, охваченных деятельностью центров "Точка роста", детских технопарков «Кванториум», "ДНК", центров цифрового образования "IT-куб"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ABCF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508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547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11A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04E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74C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D908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обучающихся, охваченных деятельностью центров "Точка роста", детских технопарков «Кванториум», "ДНК", центров цифрового образования "IT-куб», до 60%</w:t>
                  </w:r>
                </w:p>
              </w:tc>
            </w:tr>
          </w:tbl>
          <w:p w14:paraId="216EE466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5660B86E" w14:textId="77777777" w:rsidTr="00402AF0">
        <w:trPr>
          <w:trHeight w:val="409"/>
        </w:trPr>
        <w:tc>
          <w:tcPr>
            <w:tcW w:w="1985" w:type="dxa"/>
          </w:tcPr>
          <w:p w14:paraId="586EA82D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lastRenderedPageBreak/>
              <w:t xml:space="preserve">3. Задача программы                   </w:t>
            </w:r>
          </w:p>
        </w:tc>
        <w:tc>
          <w:tcPr>
            <w:tcW w:w="8221" w:type="dxa"/>
          </w:tcPr>
          <w:p w14:paraId="2836B8EA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801B40" w:rsidRPr="00801B40" w14:paraId="6EEB21BA" w14:textId="77777777" w:rsidTr="00402AF0">
        <w:trPr>
          <w:trHeight w:val="1447"/>
        </w:trPr>
        <w:tc>
          <w:tcPr>
            <w:tcW w:w="10206" w:type="dxa"/>
            <w:gridSpan w:val="2"/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98"/>
              <w:gridCol w:w="851"/>
              <w:gridCol w:w="708"/>
              <w:gridCol w:w="851"/>
              <w:gridCol w:w="992"/>
              <w:gridCol w:w="1134"/>
              <w:gridCol w:w="851"/>
              <w:gridCol w:w="1842"/>
            </w:tblGrid>
            <w:tr w:rsidR="00801B40" w:rsidRPr="00801B40" w14:paraId="29C94A8D" w14:textId="77777777" w:rsidTr="00402AF0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427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п/п</w:t>
                  </w:r>
                </w:p>
              </w:tc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3F7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целевого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605A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Еди-ница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измерения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03C09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F5FE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Значение целевого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показателя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на начало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реализации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программы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09F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Плановое значение 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FE3BE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Ожидаемые результаты реализации    </w:t>
                  </w:r>
                </w:p>
                <w:p w14:paraId="2F4CA10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программы                        </w:t>
                  </w:r>
                </w:p>
              </w:tc>
            </w:tr>
            <w:tr w:rsidR="00801B40" w:rsidRPr="00801B40" w14:paraId="6CFCE711" w14:textId="77777777" w:rsidTr="00402AF0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DCF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A09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848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ABCB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617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5F9D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F286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4D0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2025 г.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4D0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1B40" w:rsidRPr="00801B40" w14:paraId="01806BF5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970E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E611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324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6D0F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C25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F133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1365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E902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C2AB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1B40" w:rsidRPr="00801B40" w14:paraId="26C0A45D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3A9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5BF1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детей, охваченных различными формами оздоровления и отдыха, от числа детей в возрасте от 7 до 17 лет включительно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0C8A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F36D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A7F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03C8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7DF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3BA7C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84,0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5F8A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доли детей, охваченных различными формами оздоровления и отдыха, от числа детей в возрасте от 7 до 17 лет включительно до 84%</w:t>
                  </w:r>
                </w:p>
              </w:tc>
            </w:tr>
          </w:tbl>
          <w:p w14:paraId="476E5622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4648DD4B" w14:textId="77777777" w:rsidTr="00402AF0">
        <w:trPr>
          <w:trHeight w:val="1447"/>
        </w:trPr>
        <w:tc>
          <w:tcPr>
            <w:tcW w:w="1985" w:type="dxa"/>
          </w:tcPr>
          <w:p w14:paraId="4D79D26F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4. Задача программы                   </w:t>
            </w:r>
          </w:p>
        </w:tc>
        <w:tc>
          <w:tcPr>
            <w:tcW w:w="8221" w:type="dxa"/>
          </w:tcPr>
          <w:p w14:paraId="558ABB86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801B40" w:rsidRPr="00801B40" w14:paraId="21659887" w14:textId="77777777" w:rsidTr="00402AF0">
        <w:trPr>
          <w:trHeight w:val="415"/>
        </w:trPr>
        <w:tc>
          <w:tcPr>
            <w:tcW w:w="10206" w:type="dxa"/>
            <w:gridSpan w:val="2"/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98"/>
              <w:gridCol w:w="851"/>
              <w:gridCol w:w="708"/>
              <w:gridCol w:w="851"/>
              <w:gridCol w:w="992"/>
              <w:gridCol w:w="1134"/>
              <w:gridCol w:w="851"/>
              <w:gridCol w:w="1842"/>
            </w:tblGrid>
            <w:tr w:rsidR="00801B40" w:rsidRPr="00801B40" w14:paraId="13469181" w14:textId="77777777" w:rsidTr="00402AF0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E696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п/п</w:t>
                  </w:r>
                </w:p>
              </w:tc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D6DA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целевого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386B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Еди-ница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измерения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34E4E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C03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Значение целевого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показателя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на начало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реализации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>программы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01A2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Плановое значение   </w:t>
                  </w:r>
                  <w:r w:rsidRPr="00801B40">
                    <w:rPr>
                      <w:rFonts w:ascii="Times New Roman" w:hAnsi="Times New Roman" w:cs="Times New Roman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D90C4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Ожидаемые результаты реализации    </w:t>
                  </w:r>
                </w:p>
                <w:p w14:paraId="02B9217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программы                        </w:t>
                  </w:r>
                </w:p>
              </w:tc>
            </w:tr>
            <w:tr w:rsidR="00801B40" w:rsidRPr="00801B40" w14:paraId="06CE20F6" w14:textId="77777777" w:rsidTr="00402AF0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8B43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953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6D1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207B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DEB7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E153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67B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341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2025 г.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0209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1B40" w:rsidRPr="00801B40" w14:paraId="7616625F" w14:textId="77777777" w:rsidTr="00402AF0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3F6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3470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99D4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2B72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4CA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D80D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EB4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E23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0E10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1B40" w:rsidRPr="00801B40" w14:paraId="506B767C" w14:textId="77777777" w:rsidTr="00402AF0">
              <w:trPr>
                <w:trHeight w:val="289"/>
              </w:trPr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8CE9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B8A3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муниципальных образовательных организаций, имеющих лицензию на образовательную деятельность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1713D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1F92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AF73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BDE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CE25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40FE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1F04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Сохранение доли муниципальных образовательных организаций, имеющих лицензию на образовательную деятельность, на уровне 100%</w:t>
                  </w:r>
                </w:p>
              </w:tc>
            </w:tr>
            <w:tr w:rsidR="00801B40" w:rsidRPr="00801B40" w14:paraId="412E63C3" w14:textId="77777777" w:rsidTr="00402AF0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D50B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E0B8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Охват организованным бесплатным горячим </w:t>
                  </w: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питанием учащихся 1-4 классов и отдельных категорий учащихся общеобразовательных учреждений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D9A8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0E6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50D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2B6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424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FC1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6EE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Сохранение охвата организованным </w:t>
                  </w: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бесплатным горячим питанием учащихся 1-4 классов и отдельных категорий учащихся общеобразовательных учреждений на уровне 100%</w:t>
                  </w:r>
                </w:p>
              </w:tc>
            </w:tr>
            <w:tr w:rsidR="00801B40" w:rsidRPr="00801B40" w14:paraId="39ED5482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6084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8C58" w14:textId="02B4F812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Доступность образования для обучающихся, проживающих в сельских, труднодоступных и удаленных населенных пунктах</w:t>
                  </w:r>
                  <w:r w:rsidR="005E489F">
                    <w:rPr>
                      <w:rFonts w:ascii="Times New Roman" w:hAnsi="Times New Roman" w:cs="Times New Roman"/>
                    </w:rPr>
                    <w:t>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C091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682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7475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47D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53482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C245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D6AD" w14:textId="5A3A9BE9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Сохранение доступности </w:t>
                  </w:r>
                  <w:r w:rsidR="005E489F" w:rsidRPr="00801B40">
                    <w:rPr>
                      <w:rFonts w:ascii="Times New Roman" w:hAnsi="Times New Roman" w:cs="Times New Roman"/>
                    </w:rPr>
                    <w:t>образования для обучающихся, проживающих в сельских, труднодоступных и удаленных населенных пунктах</w:t>
                  </w:r>
                  <w:r w:rsidR="005E489F">
                    <w:rPr>
                      <w:rFonts w:ascii="Times New Roman" w:hAnsi="Times New Roman" w:cs="Times New Roman"/>
                    </w:rPr>
                    <w:t>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</w:t>
                  </w:r>
                  <w:r w:rsidRPr="00801B40">
                    <w:rPr>
                      <w:rFonts w:ascii="Times New Roman" w:hAnsi="Times New Roman" w:cs="Times New Roman"/>
                    </w:rPr>
                    <w:t xml:space="preserve"> на уровне 100%</w:t>
                  </w:r>
                </w:p>
              </w:tc>
            </w:tr>
            <w:tr w:rsidR="00801B40" w:rsidRPr="00801B40" w14:paraId="3D21D87B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FD8C4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B35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Доля детей в возрасте от 1,5 до 3 лет, которым предоставлена услуга дошкольного образования от количества заявившихся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E0A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801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FF19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74,0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55A1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F0A7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46D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ADCB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Сохранение доли детей в возрасте от 1,5 до 3 лет, которым предоставлена услуга дошкольного образования от количества заявившихся на уровне 100%</w:t>
                  </w:r>
                </w:p>
              </w:tc>
            </w:tr>
            <w:tr w:rsidR="00801B40" w:rsidRPr="00801B40" w14:paraId="0910E28B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AC08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A65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Доля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</w:t>
                  </w: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для инклюзивного образования детей-инвалидов, в общем количестве образовательных организаций в городском округе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2A41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DAE37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661A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990E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AB556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B6968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40,0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60FF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 xml:space="preserve">Увеличение доли муниципальных образовательных организаций, отнесенных к категории приоритетных объектов социальной инфраструктуры, в которых </w:t>
                  </w: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      </w:r>
                </w:p>
              </w:tc>
            </w:tr>
            <w:tr w:rsidR="00801B40" w:rsidRPr="00801B40" w14:paraId="2BFB0FBC" w14:textId="77777777" w:rsidTr="00402AF0"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A20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87F00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Количество устроенных спортивных площадок на территории образовательных организаций в Добрянском городском округе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CF845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3DA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3915B" w14:textId="77777777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076F" w14:textId="187FEA95" w:rsidR="00801B40" w:rsidRPr="00801B40" w:rsidRDefault="005B2C39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5E9B8" w14:textId="6E7F754D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  <w:r w:rsidR="005B2C3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3FAC2" w14:textId="3DED8F18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</w:t>
                  </w:r>
                  <w:r w:rsidR="005B2C39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79FD1" w14:textId="151A055F" w:rsidR="00801B40" w:rsidRPr="00801B40" w:rsidRDefault="00801B40" w:rsidP="00285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Увеличение количества устроенных спортивных площадок на территории образовательных организаций в Добрянском городском округе до 2</w:t>
                  </w:r>
                  <w:r w:rsidR="005B2C39">
                    <w:rPr>
                      <w:rFonts w:ascii="Times New Roman" w:hAnsi="Times New Roman" w:cs="Times New Roman"/>
                    </w:rPr>
                    <w:t>0</w:t>
                  </w:r>
                  <w:r w:rsidRPr="00801B40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</w:tbl>
          <w:p w14:paraId="59976E0C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287435ED" w14:textId="77777777" w:rsidTr="00402AF0">
        <w:trPr>
          <w:trHeight w:val="1696"/>
        </w:trPr>
        <w:tc>
          <w:tcPr>
            <w:tcW w:w="1985" w:type="dxa"/>
          </w:tcPr>
          <w:p w14:paraId="51994889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lastRenderedPageBreak/>
              <w:t>Объемы бюджетных ассигнований по источникам финансирования программы</w:t>
            </w:r>
          </w:p>
        </w:tc>
        <w:tc>
          <w:tcPr>
            <w:tcW w:w="8221" w:type="dxa"/>
          </w:tcPr>
          <w:tbl>
            <w:tblPr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1498"/>
              <w:gridCol w:w="1134"/>
              <w:gridCol w:w="1134"/>
              <w:gridCol w:w="1134"/>
            </w:tblGrid>
            <w:tr w:rsidR="00801B40" w:rsidRPr="00801B40" w14:paraId="410EEAA1" w14:textId="77777777" w:rsidTr="00402AF0">
              <w:trPr>
                <w:trHeight w:val="455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09347" w14:textId="77777777" w:rsidR="00801B40" w:rsidRPr="00801B40" w:rsidRDefault="00801B40" w:rsidP="002852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EC6A9" w14:textId="77777777" w:rsidR="00801B40" w:rsidRPr="00801B40" w:rsidRDefault="00801B40" w:rsidP="0028523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82041" w14:textId="77777777" w:rsidR="00801B40" w:rsidRPr="00801B40" w:rsidRDefault="00801B40" w:rsidP="0028523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A4145" w14:textId="77777777" w:rsidR="00801B40" w:rsidRPr="00801B40" w:rsidRDefault="00801B40" w:rsidP="0028523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6BDDF" w14:textId="77777777" w:rsidR="00801B40" w:rsidRPr="00801B40" w:rsidRDefault="00801B40" w:rsidP="00285234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2025 год</w:t>
                  </w:r>
                </w:p>
              </w:tc>
            </w:tr>
            <w:tr w:rsidR="00801B40" w:rsidRPr="00801B40" w14:paraId="4BED7C0A" w14:textId="77777777" w:rsidTr="00BA28C3">
              <w:trPr>
                <w:trHeight w:val="176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44BFB6D" w14:textId="77777777" w:rsidR="00801B40" w:rsidRPr="00801B40" w:rsidRDefault="00801B40" w:rsidP="0028523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Всего, в том числе: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F975BE" w14:textId="064393BD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2 784 255,8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A26B849" w14:textId="02DFC616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956 417,4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8C68D" w14:textId="153E5E28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918 548,6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665D6C7" w14:textId="455EFF4B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909 289,8</w:t>
                  </w:r>
                </w:p>
              </w:tc>
            </w:tr>
            <w:tr w:rsidR="00801B40" w:rsidRPr="00801B40" w14:paraId="204D2A3A" w14:textId="77777777" w:rsidTr="00BA28C3">
              <w:trPr>
                <w:trHeight w:val="167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0BC6D1D" w14:textId="77777777" w:rsidR="00801B40" w:rsidRPr="00801B40" w:rsidRDefault="00801B40" w:rsidP="0028523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B2D771" w14:textId="366D2F32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162 480,3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FFBEB9" w14:textId="0D0BA5C5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53 090,7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4B3A5" w14:textId="3471DE71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55 362,7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ACA545" w14:textId="047D368D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54 026,9</w:t>
                  </w:r>
                </w:p>
              </w:tc>
            </w:tr>
            <w:tr w:rsidR="00801B40" w:rsidRPr="00801B40" w14:paraId="5A74E8C9" w14:textId="77777777" w:rsidTr="00BA28C3">
              <w:trPr>
                <w:trHeight w:val="258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B59A499" w14:textId="77777777" w:rsidR="00801B40" w:rsidRPr="00801B40" w:rsidRDefault="00801B40" w:rsidP="0028523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Средства краевого бюджета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0C5DE5" w14:textId="1981DECF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1 931 695,8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A7AEBA3" w14:textId="31931B4A" w:rsidR="00801B40" w:rsidRPr="00801B40" w:rsidRDefault="00BA28C3" w:rsidP="00285234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668 580,0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EB710" w14:textId="5BB26745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630 682,3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B1BB8D" w14:textId="528299FB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632 433,5</w:t>
                  </w:r>
                </w:p>
              </w:tc>
            </w:tr>
            <w:tr w:rsidR="00801B40" w:rsidRPr="00801B40" w14:paraId="2D5A212F" w14:textId="77777777" w:rsidTr="00BA28C3">
              <w:trPr>
                <w:trHeight w:val="315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2135BAF" w14:textId="77777777" w:rsidR="00801B40" w:rsidRPr="00801B40" w:rsidRDefault="00801B40" w:rsidP="0028523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01B40">
                    <w:rPr>
                      <w:rFonts w:ascii="Times New Roman" w:hAnsi="Times New Roman" w:cs="Times New Roman"/>
                    </w:rPr>
                    <w:t>Средства местного бюджета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B11B4B" w14:textId="5DB6F005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690 079,7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70FA77" w14:textId="33B6221B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234 746,7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5887C" w14:textId="40435021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232 503,6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91F468" w14:textId="5A2DD1DB" w:rsidR="00801B40" w:rsidRPr="00801B40" w:rsidRDefault="00BA28C3" w:rsidP="00285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222 829,4</w:t>
                  </w:r>
                </w:p>
              </w:tc>
            </w:tr>
          </w:tbl>
          <w:p w14:paraId="75B7D506" w14:textId="77777777" w:rsidR="00801B40" w:rsidRPr="00801B40" w:rsidRDefault="00801B40" w:rsidP="0028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458A8F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E15209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1B40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</w:t>
      </w:r>
    </w:p>
    <w:p w14:paraId="4215050D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На 01 января 2022 года система образования Добрянского городского округа включает в себя 19 образовательных организаций:</w:t>
      </w:r>
    </w:p>
    <w:p w14:paraId="3B6F9F23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10 общеобразовательных школ, в том числе 2 основных и 8 средних школ;</w:t>
      </w:r>
    </w:p>
    <w:p w14:paraId="4438CC45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6 дошкольных образовательных учреждений;</w:t>
      </w:r>
    </w:p>
    <w:p w14:paraId="520142A4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2 учреждения дополнительного образования;</w:t>
      </w:r>
    </w:p>
    <w:p w14:paraId="156663AC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1 информационный методический центр.</w:t>
      </w:r>
    </w:p>
    <w:p w14:paraId="140A8C03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8529597"/>
      <w:r w:rsidRPr="00801B40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в Добрянском городском округе для детей в возрасте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от 3 до 7 лет, обеспечена на 100%. </w:t>
      </w:r>
    </w:p>
    <w:p w14:paraId="73AA1059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г. доля детей в возрасте от 1,5 до 3 лет, которым предоставлена услуга дошкольного образования от количества заявившихся, составляла 74%. В р</w:t>
      </w:r>
      <w:r w:rsidRPr="00801B40">
        <w:rPr>
          <w:rFonts w:ascii="Times New Roman" w:hAnsi="Times New Roman" w:cs="Times New Roman"/>
          <w:sz w:val="28"/>
          <w:szCs w:val="28"/>
        </w:rPr>
        <w:t xml:space="preserve">асчёте учитываются дети, зарегистрированные в ИС «Контингент» в возрасте от 1,5 до 3 лет и посещающие детские сады. В 2021 году из зарегистрированных в ИС «Контингент» в возрасте от 1,5 до 3 лет 710 детей, получали услугу 526. 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01.07.2022г. доля детей в возрасте от 1,5 до 3 лет, которым предоставлена услуга дошкольного образования от количества заявившихся составила 100%.</w:t>
      </w:r>
    </w:p>
    <w:p w14:paraId="5E422E8D" w14:textId="77777777" w:rsid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При 6 сельских общеобразовательных учреждениях созданы дошкольные группы. По состоянию на 01 июля 2022г. образовательные учреждения, </w:t>
      </w:r>
      <w:r w:rsidRPr="00801B40">
        <w:rPr>
          <w:rFonts w:ascii="Times New Roman" w:hAnsi="Times New Roman" w:cs="Times New Roman"/>
          <w:sz w:val="28"/>
          <w:szCs w:val="28"/>
        </w:rPr>
        <w:lastRenderedPageBreak/>
        <w:t>реализующие программу дошкольного образования, посещают 3095 дошкольник (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>Увеличение временное, связано с тем, что выпускники посещают образовательные учреждения в летний период до 31.08.2022г.). </w:t>
      </w:r>
      <w:r w:rsidRPr="00801B40">
        <w:rPr>
          <w:rFonts w:ascii="Times New Roman" w:hAnsi="Times New Roman" w:cs="Times New Roman"/>
          <w:sz w:val="28"/>
          <w:szCs w:val="28"/>
        </w:rPr>
        <w:t>В связи со снижением рождаемости наблюдается ежегодное уменьшение контингента учреждений дошкольного образования: 2020 г. – 3334 чел., 2021 г. – 3047 чел., прогноз 2022-2023 учебный год – 3035 чел. С целью создания оптимальной (эффективной) сети образовательных учреждений для решения социально-педагогических задач в 2022г. планируется закрытие 2-х корпусов учреждений дошкольного образования в г. Добрянка и пгт. Полазна.</w:t>
      </w:r>
    </w:p>
    <w:p w14:paraId="588BF6A6" w14:textId="26E9FB99" w:rsidR="005F6950" w:rsidRPr="00801B40" w:rsidRDefault="001B4686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686">
        <w:rPr>
          <w:rFonts w:ascii="Times New Roman" w:hAnsi="Times New Roman" w:cs="Times New Roman"/>
          <w:sz w:val="28"/>
          <w:szCs w:val="28"/>
        </w:rPr>
        <w:t>На 2023 год запланировано окончание строительства детского сада в д. Залесная на 90 мест. Строительство детского сада осуществляется с целью создания комфортной образовательной среды, обеспечение детей дошкольного возраста местами в дошкольных образовательных учреждениях по месту жительства, улучшение качества услуги дошкольного образования, в связи с чем прогнозируется увеличение количества воспитанников и охват дошкольным образованием среди тех, кто еще не подал заявление на получение места в детском саду.</w:t>
      </w:r>
    </w:p>
    <w:p w14:paraId="2C00B9C1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организации, реализующие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форме. </w:t>
      </w:r>
    </w:p>
    <w:bookmarkEnd w:id="1"/>
    <w:p w14:paraId="32E2F57C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начального, основного и среднего общего образования по состоянию на 01 января 2022г. обучались 6673 человек, увеличение в сравнении с прошлым годом составило 27 человек (на 01 января 2021 г. – 6646 чел.). Во 2-ю смену обучались 1712 человек, что составляет 25,7 процентов общего числа обучающихся. С 01 сентября 2022 г. прогнозируется увеличение контингента обучающихся до 6714 человек. </w:t>
      </w:r>
    </w:p>
    <w:p w14:paraId="47F05DC1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Растет востребованность формы получения начального общего, основного общего и среднего общего образования вне образовательной организации: на 01 января 2021 г. 9 человек обучались по семейной форме обучения, на 01 января 2022 года родители уже 26 обучающихся уведомили управление образования о переходе на обучение вне общеобразовательной организации. Причины такого выбора - состояние здоровья, индивидуализация обучения, другая школа, санитарно-эпидемиологическая ситуация в связи с </w:t>
      </w:r>
      <w:r w:rsidRPr="00801B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01B40">
        <w:rPr>
          <w:rFonts w:ascii="Times New Roman" w:hAnsi="Times New Roman" w:cs="Times New Roman"/>
          <w:sz w:val="28"/>
          <w:szCs w:val="28"/>
        </w:rPr>
        <w:t>-19, нежелание учиться в условиях массовой школы).</w:t>
      </w:r>
    </w:p>
    <w:p w14:paraId="6B49886E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3301 учащихся 1-4 классов во всех общеобразовательных учреждениях получают бесплатное горячее питание. Финансирование осуществляется за счет средств федерального бюджета. Целевыми показателями предусмотрено сохранение охвата организованным бесплатным горячим питанием учащихся </w:t>
      </w:r>
      <w:r w:rsidRPr="00801B40">
        <w:rPr>
          <w:rFonts w:ascii="Times New Roman" w:hAnsi="Times New Roman" w:cs="Times New Roman"/>
          <w:sz w:val="28"/>
          <w:szCs w:val="28"/>
        </w:rPr>
        <w:br/>
        <w:t>1-4 классов и отдельных категорий учащихся на уровне 100%.</w:t>
      </w:r>
    </w:p>
    <w:p w14:paraId="7F03E38F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аттестации. На территории Добрянского городского округа функционирует единственный в муниципалитете пункт проведения </w:t>
      </w:r>
      <w:r w:rsidRPr="00801B4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итоговой аттестации по образовательным программам среднего общего образования (далее - ЕГЭ) на базе МБОУ «Добрянская СОШ № 3». Пункт проведения экзамена в соответствии с требованиями федерального Порядка проведения ЕГЭ оснащен необходимым для проведения оборудованием. </w:t>
      </w:r>
    </w:p>
    <w:p w14:paraId="533DF20A" w14:textId="77777777" w:rsidR="00801B40" w:rsidRPr="00801B40" w:rsidRDefault="00801B40" w:rsidP="002852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26.02.2021г. № 256 «Об особенностях проведения государственной итоговой аттестации (далее – ГИА) по образовательным программам основного общего и среднего общего образования в 2021 году» выпускникам 11 классов была предоставлена возможность выбрать форму проведения ГИА: </w:t>
      </w:r>
    </w:p>
    <w:p w14:paraId="0A7B44AD" w14:textId="77777777" w:rsidR="00801B40" w:rsidRPr="00801B40" w:rsidRDefault="00801B40" w:rsidP="002852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- Традиционный ЕГЭ для выпускников, которые планируют поступление в ВУЗ, и обязательный ЕГЭ по русскому языку для получения аттестата.  153 выпускника, проходившие ГИА-11 в форме ЕГЭ, успешно сдали экзамены и получили аттестаты о среднем общем образовании, в том числе 5 экстернов, получавших среднее общее образование вне образовательной организации (в форме семейного обучения) и успешно прошедших промежуточную и государственную итоговую аттестацию.</w:t>
      </w:r>
    </w:p>
    <w:p w14:paraId="36064890" w14:textId="77777777" w:rsidR="00801B40" w:rsidRPr="00801B40" w:rsidRDefault="00801B40" w:rsidP="002852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Государственный выпускной экзамен (далее - ГВЭ) для выпускников, кто решил в текущем году не поступать в ВУЗ. Для получения аттестата им достаточно сдать два обязательных ГВЭ по русскому языку и математике. Четыре выпускника, проходившие ГИА-11 в форме ГВЭ (не планировали поступать в вуз в текущем году), не сдали ГВЭ по русскому языку и математике. </w:t>
      </w:r>
    </w:p>
    <w:p w14:paraId="2A1A7A21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2021 году из 183 выпускников текущего года до государственной итоговой аттестации по образовательным программам среднего общего образования было допущено 179 выпускников 11 классов </w:t>
      </w:r>
      <w:r w:rsidRPr="00801B4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Добрянского городского округа. Успешно прошли ГИА и получили аттестаты о среднем общем образовании 175 человек, что составляет 95,6%. </w:t>
      </w:r>
      <w:r w:rsidRPr="00801B40">
        <w:rPr>
          <w:rFonts w:ascii="Times New Roman" w:hAnsi="Times New Roman" w:cs="Times New Roman"/>
          <w:sz w:val="28"/>
          <w:szCs w:val="28"/>
        </w:rPr>
        <w:t xml:space="preserve"> К 2025г. планируется увеличить долю выпускников, получивших аттестаты о среднем общем образовании до 98%.</w:t>
      </w:r>
    </w:p>
    <w:p w14:paraId="54CC1835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г. 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 и на бюджетные места в средние и высшие профессиональные учебные заведения от общего количества выпускников 9 и 11 классов составила 78,8%: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41"/>
        <w:gridCol w:w="2410"/>
        <w:gridCol w:w="2491"/>
      </w:tblGrid>
      <w:tr w:rsidR="00801B40" w:rsidRPr="00801B40" w14:paraId="285DA84A" w14:textId="77777777" w:rsidTr="00402AF0">
        <w:tc>
          <w:tcPr>
            <w:tcW w:w="2448" w:type="dxa"/>
            <w:vAlign w:val="center"/>
          </w:tcPr>
          <w:p w14:paraId="34C98963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vAlign w:val="center"/>
          </w:tcPr>
          <w:p w14:paraId="32A87687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B40">
              <w:rPr>
                <w:rFonts w:ascii="Times New Roman" w:hAnsi="Times New Roman" w:cs="Times New Roman"/>
                <w:bCs/>
              </w:rPr>
              <w:t>успешно прошли ГИА и получили аттестаты</w:t>
            </w:r>
          </w:p>
        </w:tc>
        <w:tc>
          <w:tcPr>
            <w:tcW w:w="2466" w:type="dxa"/>
            <w:vAlign w:val="center"/>
          </w:tcPr>
          <w:p w14:paraId="03D7F18A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B40">
              <w:rPr>
                <w:rFonts w:ascii="Times New Roman" w:hAnsi="Times New Roman" w:cs="Times New Roman"/>
                <w:bCs/>
              </w:rPr>
              <w:t>поступили в СПО/ВПО/10 класс</w:t>
            </w:r>
          </w:p>
        </w:tc>
        <w:tc>
          <w:tcPr>
            <w:tcW w:w="2527" w:type="dxa"/>
            <w:vAlign w:val="center"/>
          </w:tcPr>
          <w:p w14:paraId="0E59DC1B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B40">
              <w:rPr>
                <w:rFonts w:ascii="Times New Roman" w:hAnsi="Times New Roman" w:cs="Times New Roman"/>
                <w:bCs/>
              </w:rPr>
              <w:t>из них - на бюджет</w:t>
            </w:r>
          </w:p>
        </w:tc>
      </w:tr>
      <w:tr w:rsidR="00801B40" w:rsidRPr="00801B40" w14:paraId="25D30C33" w14:textId="77777777" w:rsidTr="00402AF0">
        <w:tc>
          <w:tcPr>
            <w:tcW w:w="2448" w:type="dxa"/>
            <w:vAlign w:val="center"/>
          </w:tcPr>
          <w:p w14:paraId="2C0DE65E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выпускники </w:t>
            </w:r>
          </w:p>
          <w:p w14:paraId="2C4B6291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2413" w:type="dxa"/>
            <w:vAlign w:val="center"/>
          </w:tcPr>
          <w:p w14:paraId="631113EA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2466" w:type="dxa"/>
            <w:vAlign w:val="center"/>
          </w:tcPr>
          <w:p w14:paraId="2135DD8A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527" w:type="dxa"/>
            <w:vAlign w:val="center"/>
          </w:tcPr>
          <w:p w14:paraId="2A80AF55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424</w:t>
            </w:r>
          </w:p>
        </w:tc>
      </w:tr>
      <w:tr w:rsidR="00801B40" w:rsidRPr="00801B40" w14:paraId="2A8F9203" w14:textId="77777777" w:rsidTr="00402AF0">
        <w:tc>
          <w:tcPr>
            <w:tcW w:w="2448" w:type="dxa"/>
            <w:vAlign w:val="center"/>
          </w:tcPr>
          <w:p w14:paraId="2C87BC79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выпускники </w:t>
            </w:r>
          </w:p>
          <w:p w14:paraId="6E562D6B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2413" w:type="dxa"/>
            <w:vAlign w:val="center"/>
          </w:tcPr>
          <w:p w14:paraId="7B195C4D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66" w:type="dxa"/>
            <w:vAlign w:val="center"/>
          </w:tcPr>
          <w:p w14:paraId="16F6EEAF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527" w:type="dxa"/>
            <w:vAlign w:val="center"/>
          </w:tcPr>
          <w:p w14:paraId="1A2F7B08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118</w:t>
            </w:r>
          </w:p>
        </w:tc>
      </w:tr>
      <w:tr w:rsidR="00801B40" w:rsidRPr="00801B40" w14:paraId="0E82379C" w14:textId="77777777" w:rsidTr="00402AF0">
        <w:tc>
          <w:tcPr>
            <w:tcW w:w="2448" w:type="dxa"/>
            <w:vAlign w:val="center"/>
          </w:tcPr>
          <w:p w14:paraId="60E14817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ВСЕГО выпускники </w:t>
            </w:r>
          </w:p>
          <w:p w14:paraId="3D9793BD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9 и 11 кл.</w:t>
            </w:r>
          </w:p>
        </w:tc>
        <w:tc>
          <w:tcPr>
            <w:tcW w:w="2413" w:type="dxa"/>
            <w:vAlign w:val="center"/>
          </w:tcPr>
          <w:p w14:paraId="7B0B9D63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466" w:type="dxa"/>
            <w:vAlign w:val="center"/>
          </w:tcPr>
          <w:p w14:paraId="07A1D61B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527" w:type="dxa"/>
            <w:vAlign w:val="center"/>
          </w:tcPr>
          <w:p w14:paraId="669F7617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542</w:t>
            </w:r>
          </w:p>
        </w:tc>
      </w:tr>
      <w:tr w:rsidR="00801B40" w:rsidRPr="00801B40" w14:paraId="3D4132DF" w14:textId="77777777" w:rsidTr="00402AF0">
        <w:tc>
          <w:tcPr>
            <w:tcW w:w="7327" w:type="dxa"/>
            <w:gridSpan w:val="3"/>
            <w:vAlign w:val="center"/>
          </w:tcPr>
          <w:p w14:paraId="349C1AB0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 и на бюджетные места в средние и высшие профессиональные учебные заведения от общего количества выпускников 9 и 11 классов</w:t>
            </w:r>
          </w:p>
        </w:tc>
        <w:tc>
          <w:tcPr>
            <w:tcW w:w="2527" w:type="dxa"/>
            <w:vAlign w:val="center"/>
          </w:tcPr>
          <w:p w14:paraId="63B8A28F" w14:textId="77777777" w:rsidR="00801B40" w:rsidRPr="00801B40" w:rsidRDefault="00801B40" w:rsidP="002852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542/688*100=78,8</w:t>
            </w:r>
          </w:p>
        </w:tc>
      </w:tr>
    </w:tbl>
    <w:p w14:paraId="09497692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2023 г. формулировку и значение данного показателя планируется откорректировать, т.к. по некоторым наиболее востребованным направлениям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подготовки наличие бюджетных мест не предполагается. Поэтому более актуальной задачей для системы образования является обеспечение конкурентоспособности и достаточного качества подготовки обучающихся, гарантирующего поступление выпускников 9 и 11 классов, а также сокращение количества выпускников, не учащихся и не работающих по окончанию школы. </w:t>
      </w:r>
    </w:p>
    <w:p w14:paraId="6256858B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целевого показателя на начало периода составляет 95,3%. В связи с прогнозируемым снижением результативности ГИА и уровня подготовки выпускников 9 и 11 классов в 2022 году в целом, что связано с отсроченными результатами низкой эффективности обучения в дистанционном формате в период коронавирусных ограничений, запланировано исполнение показателя на 90% в 2023 г. с последующим увеличением до 95% к 2025 г.</w:t>
      </w:r>
    </w:p>
    <w:p w14:paraId="2C4E22C7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  <w:lang w:val="x-none"/>
        </w:rPr>
        <w:t>В системе образования Добрянского городского округа занято 1</w:t>
      </w:r>
      <w:r w:rsidRPr="00801B40">
        <w:rPr>
          <w:rFonts w:ascii="Times New Roman" w:hAnsi="Times New Roman" w:cs="Times New Roman"/>
          <w:sz w:val="28"/>
          <w:szCs w:val="28"/>
        </w:rPr>
        <w:t>319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человек, из них </w:t>
      </w:r>
      <w:r w:rsidRPr="00801B40">
        <w:rPr>
          <w:rFonts w:ascii="Times New Roman" w:hAnsi="Times New Roman" w:cs="Times New Roman"/>
          <w:sz w:val="28"/>
          <w:szCs w:val="28"/>
        </w:rPr>
        <w:t>785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человек (60 %) - педагогические работники. </w:t>
      </w:r>
      <w:r w:rsidRPr="00801B40">
        <w:rPr>
          <w:rFonts w:ascii="Times New Roman" w:hAnsi="Times New Roman" w:cs="Times New Roman"/>
          <w:sz w:val="28"/>
          <w:szCs w:val="28"/>
        </w:rPr>
        <w:t>212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01B40">
        <w:rPr>
          <w:rFonts w:ascii="Times New Roman" w:hAnsi="Times New Roman" w:cs="Times New Roman"/>
          <w:sz w:val="28"/>
          <w:szCs w:val="28"/>
        </w:rPr>
        <w:t xml:space="preserve">(27%)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педагогов имеют высшую квалификационную категорию, </w:t>
      </w:r>
      <w:r w:rsidRPr="00801B40">
        <w:rPr>
          <w:rFonts w:ascii="Times New Roman" w:hAnsi="Times New Roman" w:cs="Times New Roman"/>
          <w:sz w:val="28"/>
          <w:szCs w:val="28"/>
        </w:rPr>
        <w:t>208 (26%)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– первую.</w:t>
      </w:r>
    </w:p>
    <w:p w14:paraId="4C98FABE" w14:textId="2526F3CA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</w:rPr>
        <w:t>По Федеральной программе «Земский учитель», призванн</w:t>
      </w:r>
      <w:r w:rsidR="00402AF0">
        <w:rPr>
          <w:rFonts w:ascii="Times New Roman" w:hAnsi="Times New Roman" w:cs="Times New Roman"/>
          <w:sz w:val="28"/>
          <w:szCs w:val="28"/>
        </w:rPr>
        <w:t>ой</w:t>
      </w:r>
      <w:r w:rsidRPr="00801B40">
        <w:rPr>
          <w:rFonts w:ascii="Times New Roman" w:hAnsi="Times New Roman" w:cs="Times New Roman"/>
          <w:sz w:val="28"/>
          <w:szCs w:val="28"/>
        </w:rPr>
        <w:t xml:space="preserve">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 приехало на территорию 4 педагога. Но вопрос дефицита кадров остается на сегодняшний день одним из острых. На начало 2022 года количество вакантных ставок - 47,9, а количество «скрытых вакансий» - 136,3. В период до 2025 года 7% (62 человека) педагогов достигнут пенсионного возраста. Молодых специалистов ежегодно приходит 5-6 человек. В отчетном периоде всего </w:t>
      </w:r>
      <w:r w:rsidRPr="00801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выпускника образовательных организаций Добрянского городского округа поступили в Пермский государственный гуманитарно-педагогический университет на обучение по целевым договорам. </w:t>
      </w:r>
    </w:p>
    <w:p w14:paraId="23D82BAF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сегодняшний день </w:t>
      </w:r>
      <w:r w:rsidRPr="00801B40">
        <w:rPr>
          <w:rFonts w:ascii="Times New Roman" w:hAnsi="Times New Roman" w:cs="Times New Roman"/>
          <w:sz w:val="28"/>
          <w:szCs w:val="28"/>
        </w:rPr>
        <w:t xml:space="preserve">удельный вес численности педагогов округа в возрасте до 35 лет в общей численности педагогического состава образовательных организаций составляет 18%, за период реализации муниципальной программы показатель планируется увеличить на 0,3 пункта. Также по результатам реализации муниципальной программы планируется увеличить долю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>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57%.</w:t>
      </w:r>
    </w:p>
    <w:p w14:paraId="37109830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С целью повышения престижа педагогической профессии ежегодно проводится традиционный конкурс профессионального мастерства «Учитель года», в соответствии с Положением о конкурсе. Традиционными номинациями конкурса являются:</w:t>
      </w:r>
    </w:p>
    <w:p w14:paraId="12AB4B72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  <w:lang w:val="x-none"/>
        </w:rPr>
        <w:t>«Воспитатель дошкольного образовательного учреждения»</w:t>
      </w:r>
      <w:r w:rsidRPr="00801B40">
        <w:rPr>
          <w:rFonts w:ascii="Times New Roman" w:hAnsi="Times New Roman" w:cs="Times New Roman"/>
          <w:sz w:val="28"/>
          <w:szCs w:val="28"/>
        </w:rPr>
        <w:t>.</w:t>
      </w:r>
    </w:p>
    <w:p w14:paraId="507A1E5E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  <w:lang w:val="x-none"/>
        </w:rPr>
        <w:t>«Учитель общего образования</w:t>
      </w:r>
      <w:r w:rsidRPr="00801B40">
        <w:rPr>
          <w:rFonts w:ascii="Times New Roman" w:hAnsi="Times New Roman" w:cs="Times New Roman"/>
          <w:sz w:val="28"/>
          <w:szCs w:val="28"/>
        </w:rPr>
        <w:t>».</w:t>
      </w:r>
    </w:p>
    <w:p w14:paraId="77EBE0B3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«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Педагогический дебют</w:t>
      </w:r>
      <w:r w:rsidRPr="00801B40">
        <w:rPr>
          <w:rFonts w:ascii="Times New Roman" w:hAnsi="Times New Roman" w:cs="Times New Roman"/>
          <w:sz w:val="28"/>
          <w:szCs w:val="28"/>
        </w:rPr>
        <w:t>».</w:t>
      </w:r>
    </w:p>
    <w:p w14:paraId="2F182A17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01B40">
        <w:rPr>
          <w:rFonts w:ascii="Times New Roman" w:hAnsi="Times New Roman" w:cs="Times New Roman"/>
          <w:sz w:val="28"/>
          <w:szCs w:val="28"/>
        </w:rPr>
        <w:t>«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Командная номинация</w:t>
      </w:r>
      <w:r w:rsidRPr="00801B40">
        <w:rPr>
          <w:rFonts w:ascii="Times New Roman" w:hAnsi="Times New Roman" w:cs="Times New Roman"/>
          <w:sz w:val="28"/>
          <w:szCs w:val="28"/>
        </w:rPr>
        <w:t>»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(Команда по профилактике, команда классных руководителей, административная команда).</w:t>
      </w:r>
    </w:p>
    <w:p w14:paraId="4D137FF5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Ежегодно в соответствие с положением о проведении краевого этапа  конкурса </w:t>
      </w:r>
      <w:r w:rsidRPr="00801B40">
        <w:rPr>
          <w:rFonts w:ascii="Times New Roman" w:hAnsi="Times New Roman" w:cs="Times New Roman"/>
          <w:sz w:val="28"/>
          <w:szCs w:val="28"/>
        </w:rPr>
        <w:t>«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Учитель года</w:t>
      </w:r>
      <w:r w:rsidRPr="00801B40">
        <w:rPr>
          <w:rFonts w:ascii="Times New Roman" w:hAnsi="Times New Roman" w:cs="Times New Roman"/>
          <w:sz w:val="28"/>
          <w:szCs w:val="28"/>
        </w:rPr>
        <w:t>»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вводятся дополнительные номинации.</w:t>
      </w:r>
    </w:p>
    <w:p w14:paraId="0020BE69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2021 году 23 работникам муниципальных образовательных учреждений Добрянского городского округа предоставлены путёвки на санаторно-курортное лечение и оздоровление.</w:t>
      </w:r>
    </w:p>
    <w:p w14:paraId="033584E9" w14:textId="18B49D22" w:rsidR="00801B40" w:rsidRPr="00801B40" w:rsidRDefault="00801B40" w:rsidP="002852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ab/>
        <w:t xml:space="preserve">Ежегодно в целях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перечня поручений по реализации Послания Президента Российской Федерации Федеральному Собранию Российской Федерации от 20 февраля 2019 года № Пр-294, </w:t>
      </w:r>
      <w:r w:rsidRPr="00801B40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Указов Президента Российской Федерации от 07 мая 2012 г. № 597 «О мероприятиях по реализации государственной социальной политики» заключается соглашение с Министерством образования и науки Пермского края (далее – Соглашение). За 2021 год целевые показатели по средней заработной плате педагогических работников общеобразовательных учреждений исполнен</w:t>
      </w:r>
      <w:r w:rsidR="00402AF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801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113,4%, по учреждениям дошкольного образования - на 103,5%, учреждениям дополнительного образования – на 105%. Исполнение целевых показателей по средней заработной плате педагогических работников, установленных Соглашением на 2022</w:t>
      </w:r>
      <w:r w:rsidR="00402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1B40">
        <w:rPr>
          <w:rFonts w:ascii="Times New Roman" w:hAnsi="Times New Roman" w:cs="Times New Roman"/>
          <w:color w:val="000000"/>
          <w:spacing w:val="1"/>
          <w:sz w:val="28"/>
          <w:szCs w:val="28"/>
        </w:rPr>
        <w:t>г. запланировано на уровне 100%.</w:t>
      </w:r>
    </w:p>
    <w:p w14:paraId="37388C0E" w14:textId="77777777" w:rsidR="00801B40" w:rsidRPr="00801B40" w:rsidRDefault="00801B40" w:rsidP="00285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01B40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 среднемесячной заработной плате по всем категориям образовательных учреждений, подведомственных управлению образования представлена в таблице 1.</w:t>
      </w:r>
    </w:p>
    <w:p w14:paraId="0F61B9C9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Среднемесячная заработная плата по всем категориям работников (без совместителей)</w:t>
      </w:r>
    </w:p>
    <w:p w14:paraId="33211D3A" w14:textId="77777777" w:rsidR="00801B40" w:rsidRPr="00801B40" w:rsidRDefault="00801B40" w:rsidP="0028523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01B40">
        <w:rPr>
          <w:rFonts w:ascii="Times New Roman" w:hAnsi="Times New Roman" w:cs="Times New Roman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557"/>
        <w:gridCol w:w="2437"/>
        <w:gridCol w:w="1420"/>
        <w:gridCol w:w="1529"/>
      </w:tblGrid>
      <w:tr w:rsidR="00801B40" w:rsidRPr="00801B40" w14:paraId="06A0B773" w14:textId="77777777" w:rsidTr="00402AF0">
        <w:tc>
          <w:tcPr>
            <w:tcW w:w="2696" w:type="dxa"/>
            <w:shd w:val="clear" w:color="auto" w:fill="auto"/>
          </w:tcPr>
          <w:p w14:paraId="186AFF4F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7" w:type="dxa"/>
            <w:shd w:val="clear" w:color="auto" w:fill="auto"/>
          </w:tcPr>
          <w:p w14:paraId="5BD126E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Целевой показатель 2021г., руб.</w:t>
            </w:r>
          </w:p>
        </w:tc>
        <w:tc>
          <w:tcPr>
            <w:tcW w:w="2437" w:type="dxa"/>
            <w:shd w:val="clear" w:color="auto" w:fill="auto"/>
          </w:tcPr>
          <w:p w14:paraId="01CD73E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Факт 2021г., руб.</w:t>
            </w:r>
          </w:p>
        </w:tc>
        <w:tc>
          <w:tcPr>
            <w:tcW w:w="1420" w:type="dxa"/>
            <w:shd w:val="clear" w:color="auto" w:fill="auto"/>
          </w:tcPr>
          <w:p w14:paraId="41E37F64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529" w:type="dxa"/>
            <w:shd w:val="clear" w:color="auto" w:fill="auto"/>
          </w:tcPr>
          <w:p w14:paraId="4F9AF47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Целевой показатель на 2022г., руб.</w:t>
            </w:r>
          </w:p>
        </w:tc>
      </w:tr>
      <w:tr w:rsidR="00801B40" w:rsidRPr="00801B40" w14:paraId="47F7F119" w14:textId="77777777" w:rsidTr="00402AF0">
        <w:tc>
          <w:tcPr>
            <w:tcW w:w="9639" w:type="dxa"/>
            <w:gridSpan w:val="5"/>
            <w:shd w:val="clear" w:color="auto" w:fill="auto"/>
          </w:tcPr>
          <w:p w14:paraId="5EAA57D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  <w:szCs w:val="28"/>
              </w:rPr>
              <w:t>Общеобразовательные учреждения</w:t>
            </w:r>
          </w:p>
        </w:tc>
      </w:tr>
      <w:tr w:rsidR="00801B40" w:rsidRPr="00801B40" w14:paraId="1D24C8A8" w14:textId="77777777" w:rsidTr="00402AF0">
        <w:tc>
          <w:tcPr>
            <w:tcW w:w="2696" w:type="dxa"/>
            <w:shd w:val="clear" w:color="auto" w:fill="auto"/>
          </w:tcPr>
          <w:p w14:paraId="0DE935CF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14:paraId="46C204FD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shd w:val="clear" w:color="auto" w:fill="auto"/>
          </w:tcPr>
          <w:p w14:paraId="1C463FFE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33 155</w:t>
            </w:r>
          </w:p>
        </w:tc>
        <w:tc>
          <w:tcPr>
            <w:tcW w:w="1420" w:type="dxa"/>
            <w:shd w:val="clear" w:color="auto" w:fill="auto"/>
          </w:tcPr>
          <w:p w14:paraId="4E11C43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14:paraId="1AA09299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0B3369B9" w14:textId="77777777" w:rsidTr="00402AF0">
        <w:tc>
          <w:tcPr>
            <w:tcW w:w="2696" w:type="dxa"/>
            <w:shd w:val="clear" w:color="auto" w:fill="auto"/>
          </w:tcPr>
          <w:p w14:paraId="27329D0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АУП</w:t>
            </w:r>
          </w:p>
        </w:tc>
        <w:tc>
          <w:tcPr>
            <w:tcW w:w="1557" w:type="dxa"/>
            <w:shd w:val="clear" w:color="auto" w:fill="auto"/>
          </w:tcPr>
          <w:p w14:paraId="5BBF5176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41 255</w:t>
            </w:r>
          </w:p>
        </w:tc>
        <w:tc>
          <w:tcPr>
            <w:tcW w:w="2437" w:type="dxa"/>
            <w:shd w:val="clear" w:color="auto" w:fill="auto"/>
          </w:tcPr>
          <w:p w14:paraId="55A50AFC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40 433</w:t>
            </w:r>
          </w:p>
        </w:tc>
        <w:tc>
          <w:tcPr>
            <w:tcW w:w="1420" w:type="dxa"/>
            <w:shd w:val="clear" w:color="auto" w:fill="auto"/>
          </w:tcPr>
          <w:p w14:paraId="37A34DB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29" w:type="dxa"/>
            <w:shd w:val="clear" w:color="auto" w:fill="auto"/>
          </w:tcPr>
          <w:p w14:paraId="0EE891F0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42 039</w:t>
            </w:r>
          </w:p>
        </w:tc>
      </w:tr>
      <w:tr w:rsidR="00801B40" w:rsidRPr="00801B40" w14:paraId="5CEB9D12" w14:textId="77777777" w:rsidTr="00402AF0">
        <w:tc>
          <w:tcPr>
            <w:tcW w:w="2696" w:type="dxa"/>
            <w:shd w:val="clear" w:color="auto" w:fill="auto"/>
          </w:tcPr>
          <w:p w14:paraId="4E6BA74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557" w:type="dxa"/>
            <w:shd w:val="clear" w:color="auto" w:fill="auto"/>
          </w:tcPr>
          <w:p w14:paraId="12FC930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33 215</w:t>
            </w:r>
          </w:p>
        </w:tc>
        <w:tc>
          <w:tcPr>
            <w:tcW w:w="2437" w:type="dxa"/>
            <w:shd w:val="clear" w:color="auto" w:fill="auto"/>
          </w:tcPr>
          <w:p w14:paraId="7EA042C9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37 667 </w:t>
            </w:r>
            <w:r w:rsidRPr="00801B40">
              <w:rPr>
                <w:rFonts w:ascii="Times New Roman" w:hAnsi="Times New Roman" w:cs="Times New Roman"/>
                <w:sz w:val="20"/>
              </w:rPr>
              <w:t>(с учетом выплат на классное руководство за счет Федерального бюджета - КР ФБ)</w:t>
            </w:r>
          </w:p>
        </w:tc>
        <w:tc>
          <w:tcPr>
            <w:tcW w:w="1420" w:type="dxa"/>
            <w:shd w:val="clear" w:color="auto" w:fill="auto"/>
          </w:tcPr>
          <w:p w14:paraId="652F066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29" w:type="dxa"/>
            <w:shd w:val="clear" w:color="auto" w:fill="auto"/>
          </w:tcPr>
          <w:p w14:paraId="5815F1D7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35 216 </w:t>
            </w:r>
            <w:r w:rsidRPr="00801B40">
              <w:rPr>
                <w:rFonts w:ascii="Times New Roman" w:hAnsi="Times New Roman" w:cs="Times New Roman"/>
                <w:sz w:val="20"/>
              </w:rPr>
              <w:t>(без учета выплат на классное руководство за счет Федерального бюджета - КР ФБ)</w:t>
            </w:r>
          </w:p>
        </w:tc>
      </w:tr>
      <w:tr w:rsidR="00801B40" w:rsidRPr="00801B40" w14:paraId="16AD6A05" w14:textId="77777777" w:rsidTr="00402AF0">
        <w:tc>
          <w:tcPr>
            <w:tcW w:w="2696" w:type="dxa"/>
            <w:shd w:val="clear" w:color="auto" w:fill="auto"/>
          </w:tcPr>
          <w:p w14:paraId="55F59ED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Иной персонал</w:t>
            </w:r>
          </w:p>
        </w:tc>
        <w:tc>
          <w:tcPr>
            <w:tcW w:w="1557" w:type="dxa"/>
            <w:shd w:val="clear" w:color="auto" w:fill="auto"/>
          </w:tcPr>
          <w:p w14:paraId="4ADAAB9D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15 270</w:t>
            </w:r>
          </w:p>
        </w:tc>
        <w:tc>
          <w:tcPr>
            <w:tcW w:w="2437" w:type="dxa"/>
            <w:shd w:val="clear" w:color="auto" w:fill="auto"/>
          </w:tcPr>
          <w:p w14:paraId="41F6914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16 612</w:t>
            </w:r>
          </w:p>
        </w:tc>
        <w:tc>
          <w:tcPr>
            <w:tcW w:w="1420" w:type="dxa"/>
            <w:shd w:val="clear" w:color="auto" w:fill="auto"/>
          </w:tcPr>
          <w:p w14:paraId="2B2F680B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529" w:type="dxa"/>
            <w:shd w:val="clear" w:color="auto" w:fill="auto"/>
          </w:tcPr>
          <w:p w14:paraId="54B74A6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17 111</w:t>
            </w:r>
          </w:p>
        </w:tc>
      </w:tr>
      <w:tr w:rsidR="00801B40" w:rsidRPr="00801B40" w14:paraId="5B6579AC" w14:textId="77777777" w:rsidTr="00402AF0">
        <w:tc>
          <w:tcPr>
            <w:tcW w:w="9639" w:type="dxa"/>
            <w:gridSpan w:val="5"/>
            <w:shd w:val="clear" w:color="auto" w:fill="auto"/>
          </w:tcPr>
          <w:p w14:paraId="15C9022F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  <w:szCs w:val="28"/>
              </w:rPr>
              <w:t>Дошкольные учреждения</w:t>
            </w:r>
          </w:p>
        </w:tc>
      </w:tr>
      <w:tr w:rsidR="00801B40" w:rsidRPr="00801B40" w14:paraId="3E26A055" w14:textId="77777777" w:rsidTr="00402AF0">
        <w:tc>
          <w:tcPr>
            <w:tcW w:w="2696" w:type="dxa"/>
            <w:shd w:val="clear" w:color="auto" w:fill="auto"/>
          </w:tcPr>
          <w:p w14:paraId="5EF9A8F4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14:paraId="2AD380F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shd w:val="clear" w:color="auto" w:fill="auto"/>
          </w:tcPr>
          <w:p w14:paraId="0F067166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22 390</w:t>
            </w:r>
          </w:p>
        </w:tc>
        <w:tc>
          <w:tcPr>
            <w:tcW w:w="1420" w:type="dxa"/>
            <w:shd w:val="clear" w:color="auto" w:fill="auto"/>
          </w:tcPr>
          <w:p w14:paraId="0539135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14:paraId="79A8072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0BA524C5" w14:textId="77777777" w:rsidTr="00402AF0">
        <w:tc>
          <w:tcPr>
            <w:tcW w:w="2696" w:type="dxa"/>
            <w:shd w:val="clear" w:color="auto" w:fill="auto"/>
          </w:tcPr>
          <w:p w14:paraId="6AE1B5D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АУП</w:t>
            </w:r>
          </w:p>
        </w:tc>
        <w:tc>
          <w:tcPr>
            <w:tcW w:w="1557" w:type="dxa"/>
            <w:shd w:val="clear" w:color="auto" w:fill="auto"/>
          </w:tcPr>
          <w:p w14:paraId="7009041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37 647</w:t>
            </w:r>
          </w:p>
        </w:tc>
        <w:tc>
          <w:tcPr>
            <w:tcW w:w="2437" w:type="dxa"/>
            <w:shd w:val="clear" w:color="auto" w:fill="auto"/>
          </w:tcPr>
          <w:p w14:paraId="24EDE4CE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40 070</w:t>
            </w:r>
          </w:p>
        </w:tc>
        <w:tc>
          <w:tcPr>
            <w:tcW w:w="1420" w:type="dxa"/>
            <w:shd w:val="clear" w:color="auto" w:fill="auto"/>
          </w:tcPr>
          <w:p w14:paraId="556F8A9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529" w:type="dxa"/>
            <w:shd w:val="clear" w:color="auto" w:fill="auto"/>
          </w:tcPr>
          <w:p w14:paraId="33241E24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39 943</w:t>
            </w:r>
          </w:p>
        </w:tc>
      </w:tr>
      <w:tr w:rsidR="00801B40" w:rsidRPr="00801B40" w14:paraId="78E02145" w14:textId="77777777" w:rsidTr="00402AF0">
        <w:tc>
          <w:tcPr>
            <w:tcW w:w="2696" w:type="dxa"/>
            <w:shd w:val="clear" w:color="auto" w:fill="auto"/>
          </w:tcPr>
          <w:p w14:paraId="59805D4D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557" w:type="dxa"/>
            <w:shd w:val="clear" w:color="auto" w:fill="auto"/>
          </w:tcPr>
          <w:p w14:paraId="2C88349B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26 998</w:t>
            </w:r>
          </w:p>
        </w:tc>
        <w:tc>
          <w:tcPr>
            <w:tcW w:w="2437" w:type="dxa"/>
            <w:shd w:val="clear" w:color="auto" w:fill="auto"/>
          </w:tcPr>
          <w:p w14:paraId="0056EBC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27 941</w:t>
            </w:r>
          </w:p>
        </w:tc>
        <w:tc>
          <w:tcPr>
            <w:tcW w:w="1420" w:type="dxa"/>
            <w:shd w:val="clear" w:color="auto" w:fill="auto"/>
          </w:tcPr>
          <w:p w14:paraId="21A050D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529" w:type="dxa"/>
            <w:shd w:val="clear" w:color="auto" w:fill="auto"/>
          </w:tcPr>
          <w:p w14:paraId="1E4930C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29 059</w:t>
            </w:r>
          </w:p>
        </w:tc>
      </w:tr>
      <w:tr w:rsidR="00801B40" w:rsidRPr="00801B40" w14:paraId="7835112E" w14:textId="77777777" w:rsidTr="00402AF0">
        <w:tc>
          <w:tcPr>
            <w:tcW w:w="2696" w:type="dxa"/>
            <w:shd w:val="clear" w:color="auto" w:fill="auto"/>
          </w:tcPr>
          <w:p w14:paraId="4969470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Иной персонал</w:t>
            </w:r>
          </w:p>
        </w:tc>
        <w:tc>
          <w:tcPr>
            <w:tcW w:w="1557" w:type="dxa"/>
            <w:shd w:val="clear" w:color="auto" w:fill="auto"/>
          </w:tcPr>
          <w:p w14:paraId="66D5E3C7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14 344</w:t>
            </w:r>
          </w:p>
        </w:tc>
        <w:tc>
          <w:tcPr>
            <w:tcW w:w="2437" w:type="dxa"/>
            <w:shd w:val="clear" w:color="auto" w:fill="auto"/>
          </w:tcPr>
          <w:p w14:paraId="36903125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14 989</w:t>
            </w:r>
          </w:p>
        </w:tc>
        <w:tc>
          <w:tcPr>
            <w:tcW w:w="1420" w:type="dxa"/>
            <w:shd w:val="clear" w:color="auto" w:fill="auto"/>
          </w:tcPr>
          <w:p w14:paraId="54BA28D7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529" w:type="dxa"/>
            <w:shd w:val="clear" w:color="auto" w:fill="auto"/>
          </w:tcPr>
          <w:p w14:paraId="04BD962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15 345</w:t>
            </w:r>
          </w:p>
        </w:tc>
      </w:tr>
      <w:tr w:rsidR="00801B40" w:rsidRPr="00801B40" w14:paraId="20685323" w14:textId="77777777" w:rsidTr="00402AF0">
        <w:tc>
          <w:tcPr>
            <w:tcW w:w="9639" w:type="dxa"/>
            <w:gridSpan w:val="5"/>
            <w:shd w:val="clear" w:color="auto" w:fill="auto"/>
          </w:tcPr>
          <w:p w14:paraId="26E0FD76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  <w:szCs w:val="28"/>
              </w:rPr>
              <w:t>Учреждения дополнительного образования</w:t>
            </w:r>
          </w:p>
        </w:tc>
      </w:tr>
      <w:tr w:rsidR="00801B40" w:rsidRPr="00801B40" w14:paraId="5BD21039" w14:textId="77777777" w:rsidTr="00402AF0">
        <w:tc>
          <w:tcPr>
            <w:tcW w:w="2696" w:type="dxa"/>
            <w:shd w:val="clear" w:color="auto" w:fill="auto"/>
          </w:tcPr>
          <w:p w14:paraId="5D4A3330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14:paraId="029AB19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shd w:val="clear" w:color="auto" w:fill="auto"/>
          </w:tcPr>
          <w:p w14:paraId="039C0969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30 634</w:t>
            </w:r>
          </w:p>
        </w:tc>
        <w:tc>
          <w:tcPr>
            <w:tcW w:w="1420" w:type="dxa"/>
            <w:shd w:val="clear" w:color="auto" w:fill="auto"/>
          </w:tcPr>
          <w:p w14:paraId="1421B7EC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14:paraId="6C999ABC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B40" w:rsidRPr="00801B40" w14:paraId="0A4869AF" w14:textId="77777777" w:rsidTr="00402AF0">
        <w:tc>
          <w:tcPr>
            <w:tcW w:w="2696" w:type="dxa"/>
            <w:shd w:val="clear" w:color="auto" w:fill="auto"/>
          </w:tcPr>
          <w:p w14:paraId="24C54EEC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АУП</w:t>
            </w:r>
          </w:p>
        </w:tc>
        <w:tc>
          <w:tcPr>
            <w:tcW w:w="1557" w:type="dxa"/>
            <w:shd w:val="clear" w:color="auto" w:fill="auto"/>
          </w:tcPr>
          <w:p w14:paraId="4071830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32 621</w:t>
            </w:r>
          </w:p>
        </w:tc>
        <w:tc>
          <w:tcPr>
            <w:tcW w:w="2437" w:type="dxa"/>
            <w:shd w:val="clear" w:color="auto" w:fill="auto"/>
          </w:tcPr>
          <w:p w14:paraId="5DBBC44F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33 016</w:t>
            </w:r>
          </w:p>
        </w:tc>
        <w:tc>
          <w:tcPr>
            <w:tcW w:w="1420" w:type="dxa"/>
            <w:shd w:val="clear" w:color="auto" w:fill="auto"/>
          </w:tcPr>
          <w:p w14:paraId="0766E9B6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29" w:type="dxa"/>
            <w:shd w:val="clear" w:color="auto" w:fill="auto"/>
          </w:tcPr>
          <w:p w14:paraId="1220AAE2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34 725</w:t>
            </w:r>
          </w:p>
        </w:tc>
      </w:tr>
      <w:tr w:rsidR="00801B40" w:rsidRPr="00801B40" w14:paraId="2198DF44" w14:textId="77777777" w:rsidTr="00402AF0">
        <w:tc>
          <w:tcPr>
            <w:tcW w:w="2696" w:type="dxa"/>
            <w:shd w:val="clear" w:color="auto" w:fill="auto"/>
          </w:tcPr>
          <w:p w14:paraId="170B204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557" w:type="dxa"/>
            <w:shd w:val="clear" w:color="auto" w:fill="auto"/>
          </w:tcPr>
          <w:p w14:paraId="20E275D3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34 976</w:t>
            </w:r>
          </w:p>
        </w:tc>
        <w:tc>
          <w:tcPr>
            <w:tcW w:w="2437" w:type="dxa"/>
            <w:shd w:val="clear" w:color="auto" w:fill="auto"/>
          </w:tcPr>
          <w:p w14:paraId="2ACEE94F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36 718</w:t>
            </w:r>
          </w:p>
        </w:tc>
        <w:tc>
          <w:tcPr>
            <w:tcW w:w="1420" w:type="dxa"/>
            <w:shd w:val="clear" w:color="auto" w:fill="auto"/>
          </w:tcPr>
          <w:p w14:paraId="5ED9446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29" w:type="dxa"/>
            <w:shd w:val="clear" w:color="auto" w:fill="auto"/>
          </w:tcPr>
          <w:p w14:paraId="50211E6B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36 843</w:t>
            </w:r>
          </w:p>
        </w:tc>
      </w:tr>
      <w:tr w:rsidR="00801B40" w:rsidRPr="00801B40" w14:paraId="61688D90" w14:textId="77777777" w:rsidTr="00402AF0">
        <w:tc>
          <w:tcPr>
            <w:tcW w:w="2696" w:type="dxa"/>
            <w:shd w:val="clear" w:color="auto" w:fill="auto"/>
          </w:tcPr>
          <w:p w14:paraId="00B9F8DE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Иной персонал</w:t>
            </w:r>
          </w:p>
        </w:tc>
        <w:tc>
          <w:tcPr>
            <w:tcW w:w="1557" w:type="dxa"/>
            <w:shd w:val="clear" w:color="auto" w:fill="auto"/>
          </w:tcPr>
          <w:p w14:paraId="798D02DC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14 628</w:t>
            </w:r>
          </w:p>
        </w:tc>
        <w:tc>
          <w:tcPr>
            <w:tcW w:w="2437" w:type="dxa"/>
            <w:shd w:val="clear" w:color="auto" w:fill="auto"/>
          </w:tcPr>
          <w:p w14:paraId="31B3A431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17 908</w:t>
            </w:r>
          </w:p>
        </w:tc>
        <w:tc>
          <w:tcPr>
            <w:tcW w:w="1420" w:type="dxa"/>
            <w:shd w:val="clear" w:color="auto" w:fill="auto"/>
          </w:tcPr>
          <w:p w14:paraId="53AEAAF7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529" w:type="dxa"/>
            <w:shd w:val="clear" w:color="auto" w:fill="auto"/>
          </w:tcPr>
          <w:p w14:paraId="6EE1A44A" w14:textId="77777777" w:rsidR="00801B40" w:rsidRPr="00801B40" w:rsidRDefault="00801B40" w:rsidP="00285234">
            <w:pPr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01B40">
              <w:rPr>
                <w:rFonts w:ascii="Times New Roman" w:hAnsi="Times New Roman" w:cs="Times New Roman"/>
              </w:rPr>
              <w:t>19 121</w:t>
            </w:r>
          </w:p>
        </w:tc>
      </w:tr>
    </w:tbl>
    <w:p w14:paraId="030BAFB3" w14:textId="77777777" w:rsidR="00801B40" w:rsidRPr="00801B40" w:rsidRDefault="00801B40" w:rsidP="002852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14:paraId="72600618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образования для обучающихся, проживающих в сельских, труднодоступных и удаленных населенных пунктах, </w:t>
      </w:r>
      <w:r w:rsidRPr="00801B4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40 Федерального закона от 29 декабря 2012 г. № 273-ФЗ (ред. от 02.07.2021) «Об образовании в Российской Федерации» и требованиями, установленными п. 2.1. постановления Федеральной службы по надзору в сфере защиты прав потребителей и благополучия человека от 28 сентября 2020г. № 28 управлением образования администрации Добрянского городского округа организована перевозка между населенными пунктами воспитанников и обучающихся в образовательные организации. В перечень маршрутов школьных перевозок, утвержденный распоряжением администрации Добрянского городского округа от 14 марта 2022г. № 56-р входит 16 маршрутов. </w:t>
      </w:r>
      <w:r w:rsidRPr="00801B40">
        <w:rPr>
          <w:rFonts w:ascii="Times New Roman" w:hAnsi="Times New Roman" w:cs="Times New Roman"/>
          <w:bCs/>
          <w:sz w:val="28"/>
          <w:szCs w:val="28"/>
        </w:rPr>
        <w:t xml:space="preserve">Подвоз осуществляется в 13 корпусов образовательных учреждений Добрянского городского округа.  </w:t>
      </w:r>
    </w:p>
    <w:p w14:paraId="68D6BD08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Согласно отчету по </w:t>
      </w:r>
      <w:r w:rsidRPr="00801B40">
        <w:rPr>
          <w:rStyle w:val="fontstyle01"/>
          <w:rFonts w:ascii="Times New Roman" w:hAnsi="Times New Roman" w:cs="Times New Roman"/>
          <w:sz w:val="28"/>
          <w:szCs w:val="28"/>
        </w:rPr>
        <w:t>форме федерального статистического наблюдения № ОО-2 «Сведения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B40">
        <w:rPr>
          <w:rStyle w:val="fontstyle01"/>
          <w:rFonts w:ascii="Times New Roman" w:hAnsi="Times New Roman" w:cs="Times New Roman"/>
          <w:sz w:val="28"/>
          <w:szCs w:val="28"/>
        </w:rPr>
        <w:t>о материально–технической и информационной базе, финансово-экономической деятельности общеобразовательной организации»</w:t>
      </w:r>
      <w:r w:rsidRPr="00801B40">
        <w:rPr>
          <w:rFonts w:ascii="Times New Roman" w:hAnsi="Times New Roman" w:cs="Times New Roman"/>
          <w:sz w:val="28"/>
          <w:szCs w:val="28"/>
        </w:rPr>
        <w:t xml:space="preserve"> за 2021 год все 645 человек, нуждающихся охвачены подвозом. </w:t>
      </w:r>
    </w:p>
    <w:p w14:paraId="111EC57C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полномочий учредителя </w:t>
      </w:r>
      <w:r w:rsidRPr="00801B40">
        <w:rPr>
          <w:rFonts w:ascii="Times New Roman" w:hAnsi="Times New Roman" w:cs="Times New Roman"/>
          <w:sz w:val="28"/>
          <w:szCs w:val="28"/>
        </w:rPr>
        <w:t xml:space="preserve">между управлением образования администрации Добрянского городского округа и МКУ «Добрянское имущественное казначейство» заключено соглашение об </w:t>
      </w:r>
      <w:r w:rsidRPr="00801B40">
        <w:rPr>
          <w:rFonts w:ascii="Times New Roman" w:hAnsi="Times New Roman" w:cs="Times New Roman"/>
          <w:bCs/>
          <w:sz w:val="28"/>
          <w:szCs w:val="28"/>
        </w:rPr>
        <w:t xml:space="preserve">обеспечении автотранспортом муниципальные образовательные учреждения.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>С целью осуществления деятельности по обеспечению автотранспортом муниципальных учреждений Добрянского городского округа для выполнения уставных целей и задач</w:t>
      </w:r>
      <w:r w:rsidRPr="00801B40">
        <w:rPr>
          <w:rFonts w:ascii="Times New Roman" w:hAnsi="Times New Roman" w:cs="Times New Roman"/>
          <w:bCs/>
          <w:sz w:val="28"/>
          <w:szCs w:val="28"/>
        </w:rPr>
        <w:t xml:space="preserve"> заключено соглашение </w:t>
      </w:r>
      <w:r w:rsidRPr="00801B40">
        <w:rPr>
          <w:rFonts w:ascii="Times New Roman" w:hAnsi="Times New Roman" w:cs="Times New Roman"/>
          <w:sz w:val="28"/>
          <w:szCs w:val="28"/>
        </w:rPr>
        <w:t xml:space="preserve">МКУ «Добрянское имущественное казначейство» на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организаци</w:t>
      </w:r>
      <w:r w:rsidRPr="00801B40">
        <w:rPr>
          <w:rFonts w:ascii="Times New Roman" w:hAnsi="Times New Roman" w:cs="Times New Roman"/>
          <w:sz w:val="28"/>
          <w:szCs w:val="28"/>
        </w:rPr>
        <w:t>ю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поездок обучающихся (лиц, осваивающих образовательную программу дошкольного образования, лиц,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программы) и (или) педагогических работников на соревнования, конкурсы, олимпиады</w:t>
      </w:r>
      <w:r w:rsidRPr="00801B40">
        <w:rPr>
          <w:rFonts w:ascii="Times New Roman" w:hAnsi="Times New Roman" w:cs="Times New Roman"/>
          <w:sz w:val="28"/>
          <w:szCs w:val="28"/>
        </w:rPr>
        <w:t>, тренировочные мероприятия по подготовке к ГИА, мероприятия, организованные Министерством образования и науки Пермского края, учебно-тренировочные сборы, фестивали, выпускные, тематические экскурсии, походы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(в том числе в каникулярное время, выходные и праздничные дни)</w:t>
      </w:r>
      <w:r w:rsidRPr="00801B40">
        <w:rPr>
          <w:rFonts w:ascii="Times New Roman" w:hAnsi="Times New Roman" w:cs="Times New Roman"/>
          <w:sz w:val="28"/>
          <w:szCs w:val="28"/>
        </w:rPr>
        <w:t>. Автомобильный транспорт предоставляется, согласно направленным заявкам. Всего за 2021г. организовано 209 поездок, за 1 полугодие 2022г. – 146.</w:t>
      </w:r>
    </w:p>
    <w:p w14:paraId="648AD6E6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Пермского края Добрянскому городскому округу в 2021 году распределены 3 новых автотранспортных средства.</w:t>
      </w:r>
    </w:p>
    <w:p w14:paraId="3D631FE1" w14:textId="7D5B1BB9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В планируемом периоде изменения количества маршрутов не планируется.  Показатель доступности образования для обучающихся, проживающих в сельских, труднодоступных и удаленных населенных пунктах запланирован на уровне – 100%.</w:t>
      </w:r>
    </w:p>
    <w:p w14:paraId="1ECACAEA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Одним из показателей для получения лицензии на образовательную деятельность является соответствие помещений установленным нормативным требованиям, оснащение материально-технической базы.</w:t>
      </w:r>
    </w:p>
    <w:p w14:paraId="64D7341E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lastRenderedPageBreak/>
        <w:t>Ежегодно в образовательных организациях, подведомственных управлению образования проводятся ремонтные работы и укрепление материально-технической базы. Финансирование мероприятий осуществляется за счет средств местного бюджета и на условиях софинансирования за счет краевого бюджета. В 2021г. проведено ремонтных работ и оснащение в рамках антитеррористической безопасности на сумму 34 203 тыс. рублей в 12 образовательных учреждениях. В 2022 году завершается разработка проектно-сметной документации на капитальный ремонт МБОУ «Добрянской ООШ № 1 (Кадетская школа)» и МБДОУ «Добрянский детский сад № 11».  Финансирование к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апитального ремонта пищеблока в здании МБОУ </w:t>
      </w:r>
      <w:r w:rsidRPr="00801B40">
        <w:rPr>
          <w:rFonts w:ascii="Times New Roman" w:hAnsi="Times New Roman" w:cs="Times New Roman"/>
          <w:sz w:val="28"/>
          <w:szCs w:val="28"/>
        </w:rPr>
        <w:t xml:space="preserve">«Добрянской ООШ № 1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>(Кадетская школа)»</w:t>
      </w:r>
      <w:r w:rsidRPr="00801B40">
        <w:rPr>
          <w:rFonts w:ascii="Times New Roman" w:hAnsi="Times New Roman" w:cs="Times New Roman"/>
          <w:sz w:val="28"/>
          <w:szCs w:val="28"/>
        </w:rPr>
        <w:t xml:space="preserve"> планируется в 2024г. в рамках Федеральной программы РФ "Модернизация школьных систем образования (капитальный ремонт)».  В 2022г. проводятся ремонтные работы в 3-х учреждениях за счет субсидий преобразованным территориям и за счет средств местного бюджета.</w:t>
      </w:r>
    </w:p>
    <w:p w14:paraId="2EF75D2F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Управлением образования реализуются муниципальные проекты развития образовательных организаций, направленные на оснащение образовательного процесса. </w:t>
      </w:r>
      <w:r w:rsidRPr="00801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которых в 2021 году выделено 1 500,0 тыс.рублей, реализовано 3 проекта в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МБОУ «Полазненская СОШ № 1» проект «Развитие исследовательских навыков учащихся основной школы через обновление содержания предметов математического и естественно-научного цикла и внеурочную деятельность», МБОУ «Добрянская СОШ № 5» проект «Иностранный язык: шаг к успеху», МБДОУ «Полазненский детский сад №7» «Метеостанция в детском саду». </w:t>
      </w:r>
      <w:r w:rsidRPr="00801B40">
        <w:rPr>
          <w:rFonts w:ascii="Times New Roman" w:hAnsi="Times New Roman" w:cs="Times New Roman"/>
          <w:sz w:val="28"/>
          <w:szCs w:val="28"/>
        </w:rPr>
        <w:t>На реализацию проектов развития образовательных организаций в 2022 году предусмотрено 5 723,2 тыс. рублей.</w:t>
      </w:r>
    </w:p>
    <w:p w14:paraId="62BE9855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все учреждения, подведомственные управлению образования имеют лицензии на образовательную деятельность. Выполнение мероприятий программы по приведению в нормативное состояние и оснащение материально-технической базы позволят обеспечить функционирование образовательных учреждений.</w:t>
      </w:r>
    </w:p>
    <w:p w14:paraId="44E6E0ED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Ежегодно проводятся мероприятия по созданию в общеобразовательных организациях условий для занятия физической культурой и спортом. </w:t>
      </w:r>
      <w:r w:rsidRPr="00801B40">
        <w:rPr>
          <w:rFonts w:ascii="Times New Roman" w:eastAsia="Calibri" w:hAnsi="Times New Roman" w:cs="Times New Roman"/>
          <w:sz w:val="28"/>
          <w:szCs w:val="28"/>
          <w:lang w:eastAsia="en-US"/>
        </w:rPr>
        <w:t>В 2021г. введено в эксплуатацию 2 межшкольных стадиона в г. Добрянка и п. Полазна общей стоимостью 41 110 тыс.рублей. Проведен ремонт крытой спортивной площадки МБОУ «Полазненская средняя общеобразовательная школа № 1». В 2022 году в образовательных учреждениях запланировано устройство 3 открытых спортивных площадок в г. Добрянка, пгт. Полазна и п. Ярино и ремонт спортзалов в 2 двух сельских школах: с. Сенькино и с. Никулино. В 2024г. предусмотрен ремонт спортивного зала в с. Висим за счет средств Федерального бюджета.</w:t>
      </w:r>
    </w:p>
    <w:p w14:paraId="684FBB16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решить задачи по созданию условий для ведения здорового образа жизни жителей округа, систематических занятий физической культурой и спортом, получения доступа к развитой спортивной инфраструктуре, у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величит количества устроенных спортивных площадок на территории образовательных организаций в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Добрянском городском округе до 21 шт. и сохранить количество человек, посещающих занятия физической культуры и массовым спортом в образовательных организациях на уровне 810 человек.</w:t>
      </w:r>
    </w:p>
    <w:p w14:paraId="55C936C6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 школах Добрянского городского округа на 01.01.2022 г. обучаются 86 детей-инвалидов, в прошлом году - 75: </w:t>
      </w:r>
    </w:p>
    <w:p w14:paraId="23472678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33 из них – по основным образовательным программам, 53 – по адаптированным программам, кроме того, 32 ребенка-инвалида обучается на дому.</w:t>
      </w:r>
    </w:p>
    <w:p w14:paraId="7B9B8994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По медицинским показаниям в соответствии с заключениями клинико-экспертной комиссии организовано обучение на дому по индивидуальным учебным планам. На начало 2021-2022 учебного года всего на дому обучается 56 обучающихся (на 01.01.2021 – 40), только 15 из них – по основным образовательным программам.</w:t>
      </w:r>
    </w:p>
    <w:p w14:paraId="18F9F79E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образования обучающихся с ограниченными возможностями здоровья и инвалидностью формируется по направлению инклюзивного образования.</w:t>
      </w:r>
      <w:r w:rsidRPr="00801B40">
        <w:rPr>
          <w:rFonts w:ascii="Times New Roman" w:hAnsi="Times New Roman" w:cs="Times New Roman"/>
          <w:color w:val="400080"/>
          <w:sz w:val="28"/>
          <w:szCs w:val="28"/>
          <w:shd w:val="clear" w:color="auto" w:fill="FFFFFF"/>
        </w:rPr>
        <w:t xml:space="preserve"> </w:t>
      </w:r>
      <w:r w:rsidRPr="00801B40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доля учреждений, отнесенных к приоритетным, в которых создана</w:t>
      </w:r>
      <w:r w:rsidRPr="00801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1B40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безбарьерная среда для детей-инвалидов, обеспечивающая доступ к образовательным ресурсам и совместный процесс их обучения составляет 25%. По итогам реализации муниципальной программы данный показатель планируется увеличить до 40%.</w:t>
      </w:r>
    </w:p>
    <w:p w14:paraId="489D1DD2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 В 2021 году охват детей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образовательными программами дополнительного образования от общей численности детей и молодежи в возрасте 5-18 лет составил 53%. </w:t>
      </w:r>
      <w:r w:rsidRPr="00801B40">
        <w:rPr>
          <w:rFonts w:ascii="Times New Roman" w:hAnsi="Times New Roman" w:cs="Times New Roman"/>
          <w:sz w:val="28"/>
          <w:szCs w:val="28"/>
        </w:rPr>
        <w:t xml:space="preserve">В соответствии с целевой моделью развития систем дополнительного образования детей в 2022-2023гг. проводится работа по внедрению механизма персонифицированного финансирования и персонифицированного учета. </w:t>
      </w:r>
    </w:p>
    <w:p w14:paraId="4E8DEEAF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С 2020г. на территории Добрянского городского округа функционирует Центр гуманитарного и цифрового образования «Точка роста» (далее - Центр «Точка роста») при МБОУ «Добрянская СОШ № 3». </w:t>
      </w:r>
      <w:r w:rsidRPr="00801B40">
        <w:rPr>
          <w:rFonts w:ascii="Times New Roman" w:eastAsia="Calibri" w:hAnsi="Times New Roman" w:cs="Times New Roman"/>
          <w:sz w:val="28"/>
          <w:szCs w:val="28"/>
          <w:lang w:eastAsia="en-US"/>
        </w:rPr>
        <w:t>Все дети сельских школ округа со 2 по 9 класс приезжают на занятия дополнительного образования по 5 направлениям: техническое, гуманитарное, цифровое, естественно-научное и шахматное. Так в 2021 году 461 ребенок из села получили услугу дополнительного образования. МБУ ПЦДОД «ШТР» с 01 ноября 2021 года открыли филиал в г Добрянка по адресу: ул. Герцена, 38.</w:t>
      </w:r>
    </w:p>
    <w:p w14:paraId="360A90E8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С 01.09.2022г. планируется открытие аналогичного Центра «Точка роста» естественнонаучной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 xml:space="preserve"> и технологической направленностей</w:t>
      </w:r>
      <w:r w:rsidRPr="00801B40">
        <w:rPr>
          <w:rFonts w:ascii="Times New Roman" w:hAnsi="Times New Roman" w:cs="Times New Roman"/>
          <w:sz w:val="28"/>
          <w:szCs w:val="28"/>
        </w:rPr>
        <w:t xml:space="preserve"> </w:t>
      </w:r>
      <w:r w:rsidRPr="00801B40">
        <w:rPr>
          <w:rFonts w:ascii="Times New Roman" w:hAnsi="Times New Roman" w:cs="Times New Roman"/>
          <w:sz w:val="28"/>
          <w:szCs w:val="28"/>
          <w:lang w:val="x-none"/>
        </w:rPr>
        <w:t>при</w:t>
      </w:r>
      <w:r w:rsidRPr="00801B40">
        <w:rPr>
          <w:rFonts w:ascii="Times New Roman" w:hAnsi="Times New Roman" w:cs="Times New Roman"/>
          <w:sz w:val="28"/>
          <w:szCs w:val="28"/>
        </w:rPr>
        <w:t xml:space="preserve"> МБОУ «Полазненская СОШ № 1». В 2024г. открытие Центров «Точек роста» запланировано еще в 8 общеобразовательных учреждениях округа.  В 2023-2024гг. планируется включение МБОУ ДО «Школа технического резерва» в сеть центров цифрового образования детей «</w:t>
      </w:r>
      <w:r w:rsidRPr="00801B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01B40">
        <w:rPr>
          <w:rFonts w:ascii="Times New Roman" w:hAnsi="Times New Roman" w:cs="Times New Roman"/>
          <w:sz w:val="28"/>
          <w:szCs w:val="28"/>
        </w:rPr>
        <w:t>-КУБ», для организации обучения детей по программам в сфере информационных технологий. Финансирование мероприятий по созданию Центров «Точка роста» и «</w:t>
      </w:r>
      <w:r w:rsidRPr="00801B4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01B40">
        <w:rPr>
          <w:rFonts w:ascii="Times New Roman" w:hAnsi="Times New Roman" w:cs="Times New Roman"/>
          <w:sz w:val="28"/>
          <w:szCs w:val="28"/>
        </w:rPr>
        <w:t>-КУБ» осуществляется за счет федерального и краевого бюджета, в части поставки оборудования и местного бюджета, в части ремонтных работ, приобретение мебели и оплата труда педагогов.  Реализация мероприятий позволит к 2025 г. увеличить д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олю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обучающихся, охваченных деятельностью центров "Точка роста", детских технопарков «Кванториум», "ДНК", центров цифрового образования "IT-куб" до 60%, а </w:t>
      </w:r>
      <w:r w:rsidRPr="00801B40">
        <w:rPr>
          <w:rFonts w:ascii="Times New Roman" w:hAnsi="Times New Roman" w:cs="Times New Roman"/>
          <w:sz w:val="28"/>
          <w:szCs w:val="28"/>
        </w:rPr>
        <w:t xml:space="preserve">охват детей всеми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 программами дополнительного образования от общей численности детей и молодежи в возрасте 5-18 лет до 80%.</w:t>
      </w:r>
    </w:p>
    <w:p w14:paraId="4E65EC3F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Ежегодно управлением и подведомственными учреждениями проводятся мероприятия по выявлению, поддержке и развитию способностей детей. В 2021 году победителями и призерами муниципального этапа Всероссийской олимпиады школьников стали 116 детей. 11 школьников Добрянки и Полазны приняли участие в региональном этапе олимпиады. Призером на региональный этап всероссийской олимпиады школьников по русскому языку второй год подряд стала ученица Полазненской СОШ №1, которая стала лучшей в Пермском крае и смогла принять участие в заключительном этапе, который проводился в апреле 2021 года в Уфе. 9 школьников награждены Знаком отличия Пермского края «Гордость Пермского края». Медали «За особые успехи в учении» заработали 19 выпускников 2021 года. </w:t>
      </w:r>
    </w:p>
    <w:p w14:paraId="3725102B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В 2021 году в период летних каникул организованным отдыхом и оздоровлением охвачено 6657 детей, что составляет 80%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числа детей в возрасте от 7 до 17 лет включительно. Основными формами оздоровления являются загородные лагеря,</w:t>
      </w:r>
      <w:r w:rsidRPr="00801B40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разновозрастные отряды при школах, трудоустройство подростков. В 2022г. на территории Добрянского городского округа в с. Липово возродили детский загородный лагерь «Горизонт». </w:t>
      </w:r>
      <w:r w:rsidRPr="00801B40">
        <w:rPr>
          <w:rFonts w:ascii="Times New Roman" w:hAnsi="Times New Roman" w:cs="Times New Roman"/>
          <w:sz w:val="28"/>
          <w:szCs w:val="28"/>
        </w:rPr>
        <w:t>Ежегодно наблюдается рост показателей по оздоровлению детей: 2020г. – 5411 чел., 2021г. – 6657 чел., оценка 2022г. – 7405 чел.</w:t>
      </w:r>
      <w:r w:rsidRPr="00801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муниципальной программы позволит увеличить долю детей, охваченных различными формами оздоровления и отдыха до 83%. </w:t>
      </w:r>
    </w:p>
    <w:p w14:paraId="23EA0EF3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24.06.1999 № 120-ФЗ проводятся мероприятия по обеспечению системы профилактики безнадзорности и правонарушений несовершеннолетних. </w:t>
      </w:r>
      <w:r w:rsidRPr="00801B40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Добрянского городского округа работают 29 педагогов-психологов, которые организуют социально-психологическое сопровождение участников образовательного процесса. </w:t>
      </w:r>
    </w:p>
    <w:p w14:paraId="654C4522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0">
        <w:rPr>
          <w:rFonts w:ascii="Times New Roman" w:hAnsi="Times New Roman" w:cs="Times New Roman"/>
          <w:color w:val="010101"/>
          <w:sz w:val="28"/>
          <w:szCs w:val="28"/>
        </w:rPr>
        <w:t xml:space="preserve">Дополнительное образование и организованный досуг детей является также и формой работы по профилактике безнадзорности и правонарушений несовершеннолетних, т.к. </w:t>
      </w:r>
      <w:r w:rsidRPr="00801B40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это пространство расширения возможностей развития личности, в том числе личности проблемной. </w:t>
      </w:r>
    </w:p>
    <w:p w14:paraId="3A0526C8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color w:val="000000"/>
          <w:sz w:val="28"/>
          <w:szCs w:val="28"/>
        </w:rPr>
        <w:t>Доля несовершеннолетних в возрасте с 7 до 18 лет, не совершивших преступления и общественно-опасные деяния, в общей численности обучающихся по образовательным программам в образовательных организациях, подведомственных управлению образования составляет 95,6%. Дальнейшая реализация мероприятий муниципальной программы сохранит показатель на уровне 96%.</w:t>
      </w:r>
    </w:p>
    <w:p w14:paraId="0A54B56A" w14:textId="5DE114B4" w:rsid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Методика расчета целевых показателей муниципальной программы «Функционирование и развитие системы образования» на 2023-2025 годы и источники получения информации об их исполнении представлены в таблице 2.</w:t>
      </w:r>
    </w:p>
    <w:p w14:paraId="1EE41EF3" w14:textId="77777777" w:rsid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8416C9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01B40" w:rsidRPr="00801B40" w:rsidSect="00285234">
          <w:footerReference w:type="default" r:id="rId9"/>
          <w:headerReference w:type="first" r:id="rId10"/>
          <w:pgSz w:w="11906" w:h="16838" w:code="9"/>
          <w:pgMar w:top="1134" w:right="567" w:bottom="993" w:left="1701" w:header="363" w:footer="680" w:gutter="0"/>
          <w:cols w:space="708"/>
          <w:titlePg/>
          <w:docGrid w:linePitch="381"/>
        </w:sectPr>
      </w:pPr>
    </w:p>
    <w:p w14:paraId="041A1C07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B4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методике расчета целевых показателей муниципальной программы «Функционирование и развитие системы образования» на 2023-2025 годы и источниках получения информации об их исполнении.</w:t>
      </w:r>
    </w:p>
    <w:p w14:paraId="78B1F887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801B40">
        <w:rPr>
          <w:rFonts w:ascii="Times New Roman" w:hAnsi="Times New Roman" w:cs="Times New Roman"/>
        </w:rPr>
        <w:t>Таблица 2</w:t>
      </w: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321"/>
        <w:gridCol w:w="1275"/>
        <w:gridCol w:w="3686"/>
        <w:gridCol w:w="3686"/>
      </w:tblGrid>
      <w:tr w:rsidR="00801B40" w:rsidRPr="00801B40" w14:paraId="70BA560B" w14:textId="77777777" w:rsidTr="00402AF0">
        <w:trPr>
          <w:trHeight w:val="428"/>
        </w:trPr>
        <w:tc>
          <w:tcPr>
            <w:tcW w:w="486" w:type="dxa"/>
            <w:shd w:val="clear" w:color="000000" w:fill="FFFFFF"/>
            <w:hideMark/>
          </w:tcPr>
          <w:p w14:paraId="5E9857E4" w14:textId="02E14323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1" w:type="dxa"/>
            <w:shd w:val="clear" w:color="000000" w:fill="FFFFFF"/>
            <w:noWrap/>
            <w:hideMark/>
          </w:tcPr>
          <w:p w14:paraId="1570A19E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F4F16F" w14:textId="37EC64BC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7BDEEA4A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расчета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31CF1737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получения информации</w:t>
            </w:r>
          </w:p>
        </w:tc>
      </w:tr>
      <w:tr w:rsidR="00801B40" w:rsidRPr="00801B40" w14:paraId="188E522F" w14:textId="77777777" w:rsidTr="00402AF0">
        <w:trPr>
          <w:trHeight w:val="255"/>
        </w:trPr>
        <w:tc>
          <w:tcPr>
            <w:tcW w:w="486" w:type="dxa"/>
            <w:shd w:val="clear" w:color="000000" w:fill="FFFFFF"/>
            <w:noWrap/>
            <w:hideMark/>
          </w:tcPr>
          <w:p w14:paraId="3783E59F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shd w:val="clear" w:color="000000" w:fill="FFFFFF"/>
            <w:noWrap/>
            <w:hideMark/>
          </w:tcPr>
          <w:p w14:paraId="5A0CE7E4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C28FB95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0B48503C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703ABDC0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1B40" w:rsidRPr="00801B40" w14:paraId="09EC25AC" w14:textId="77777777" w:rsidTr="00402AF0">
        <w:trPr>
          <w:trHeight w:val="2156"/>
        </w:trPr>
        <w:tc>
          <w:tcPr>
            <w:tcW w:w="486" w:type="dxa"/>
            <w:shd w:val="clear" w:color="000000" w:fill="FFFFFF"/>
            <w:noWrap/>
            <w:hideMark/>
          </w:tcPr>
          <w:p w14:paraId="26F38A0D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shd w:val="clear" w:color="000000" w:fill="FFFFFF"/>
            <w:hideMark/>
          </w:tcPr>
          <w:p w14:paraId="6803D84E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8E2264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45CA5269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целевому показателю, установленному в Соглашении между Министерством образования и науки Пермского края и Добрянским городским округом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DC85830" w14:textId="234884AB" w:rsidR="00801B40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EC2D31" w:rsidRPr="00801B40" w14:paraId="5BB380C7" w14:textId="77777777" w:rsidTr="00402AF0">
        <w:trPr>
          <w:trHeight w:val="1989"/>
        </w:trPr>
        <w:tc>
          <w:tcPr>
            <w:tcW w:w="486" w:type="dxa"/>
            <w:shd w:val="clear" w:color="000000" w:fill="FFFFFF"/>
            <w:noWrap/>
            <w:hideMark/>
          </w:tcPr>
          <w:p w14:paraId="436DF141" w14:textId="77777777" w:rsidR="00EC2D31" w:rsidRPr="00801B40" w:rsidRDefault="00EC2D31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1" w:type="dxa"/>
            <w:shd w:val="clear" w:color="000000" w:fill="FFFFFF"/>
            <w:hideMark/>
          </w:tcPr>
          <w:p w14:paraId="6BCD262C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плате, установленной в Соглашении между Министерством образования и науки Пермского края и городским округом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83E64D7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4CAF5383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целевому показателю, установленному в Соглашении между Министерством образования и науки Пермского края и Добрянским городским округом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D23A666" w14:textId="32C716F4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7C9B"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EC2D31" w:rsidRPr="00801B40" w14:paraId="44A18243" w14:textId="77777777" w:rsidTr="00402AF0">
        <w:trPr>
          <w:trHeight w:val="1410"/>
        </w:trPr>
        <w:tc>
          <w:tcPr>
            <w:tcW w:w="486" w:type="dxa"/>
            <w:shd w:val="clear" w:color="000000" w:fill="FFFFFF"/>
            <w:noWrap/>
            <w:hideMark/>
          </w:tcPr>
          <w:p w14:paraId="10603786" w14:textId="77777777" w:rsidR="00EC2D31" w:rsidRPr="00801B40" w:rsidRDefault="00EC2D31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1" w:type="dxa"/>
            <w:shd w:val="clear" w:color="000000" w:fill="FFFFFF"/>
            <w:hideMark/>
          </w:tcPr>
          <w:p w14:paraId="563ED25D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192CF3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7DE4716" w14:textId="77777777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платы учителей в Добрянском городском округе</w:t>
            </w:r>
          </w:p>
        </w:tc>
        <w:tc>
          <w:tcPr>
            <w:tcW w:w="3686" w:type="dxa"/>
            <w:shd w:val="clear" w:color="000000" w:fill="FFFFFF"/>
            <w:hideMark/>
          </w:tcPr>
          <w:p w14:paraId="6559E48B" w14:textId="145D33DE" w:rsidR="00EC2D31" w:rsidRPr="00801B40" w:rsidRDefault="00EC2D3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с Министерством образования и науки Пермского края и Добрянским городским округом об исполнении Указов президента, 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отчетная форма ЗП-образование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выгруженная из</w:t>
            </w:r>
            <w:r w:rsidR="00A27C9B" w:rsidRP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7C9B" w:rsidRPr="00EC2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МКР ПК (региональная информационная </w:t>
            </w:r>
            <w:r w:rsidR="00A2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система)</w:t>
            </w:r>
          </w:p>
        </w:tc>
      </w:tr>
      <w:tr w:rsidR="00801B40" w:rsidRPr="00801B40" w14:paraId="1B88DEED" w14:textId="77777777" w:rsidTr="00402AF0">
        <w:trPr>
          <w:trHeight w:val="3255"/>
        </w:trPr>
        <w:tc>
          <w:tcPr>
            <w:tcW w:w="486" w:type="dxa"/>
            <w:shd w:val="clear" w:color="000000" w:fill="FFFFFF"/>
            <w:noWrap/>
            <w:hideMark/>
          </w:tcPr>
          <w:p w14:paraId="030F0F0C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21" w:type="dxa"/>
            <w:shd w:val="clear" w:color="000000" w:fill="FFFFFF"/>
            <w:hideMark/>
          </w:tcPr>
          <w:p w14:paraId="73C0F681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CBDA714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2BF908B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выпускников 11 классов, получивших аттестат о среднем общем образовании, к общему количеству выпускников текущего года, зарегистрированных для участия в ЕГЭ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244E020" w14:textId="45EBED85" w:rsidR="00434901" w:rsidRPr="00434901" w:rsidRDefault="0043490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среднего общего образования "РБД "Планирование ГИА(ЕГЭ)". Выгрузка отчетной формы СБ-06 "Количество участников по категориям ЕГЭ" в формате pdf:</w:t>
            </w:r>
          </w:p>
          <w:p w14:paraId="375712CD" w14:textId="77777777" w:rsidR="00434901" w:rsidRPr="00434901" w:rsidRDefault="0043490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Выпускники общеобразовательных организаций текущего года (графа 6) </w:t>
            </w:r>
          </w:p>
          <w:p w14:paraId="227920E2" w14:textId="68586447" w:rsidR="00434901" w:rsidRPr="00434901" w:rsidRDefault="0043490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2.6. Выпуск и итоги государственной итоговой аттестации (ГИА): </w:t>
            </w:r>
          </w:p>
          <w:p w14:paraId="1BEF52D9" w14:textId="77777777" w:rsidR="00434901" w:rsidRPr="00434901" w:rsidRDefault="0043490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и экстернов, допущенных до государственной итоговой аттестации по образовательным программам среднего общего образования (строка 09, графа 18);</w:t>
            </w:r>
          </w:p>
          <w:p w14:paraId="2A18FC04" w14:textId="474A1304" w:rsidR="00801B40" w:rsidRPr="00801B40" w:rsidRDefault="00434901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получили аттестат о среднем общем образовании (строка 10, графа 18).</w:t>
            </w:r>
          </w:p>
        </w:tc>
      </w:tr>
      <w:tr w:rsidR="00801B40" w:rsidRPr="00801B40" w14:paraId="50265DF0" w14:textId="77777777" w:rsidTr="00402AF0">
        <w:trPr>
          <w:trHeight w:val="848"/>
        </w:trPr>
        <w:tc>
          <w:tcPr>
            <w:tcW w:w="486" w:type="dxa"/>
            <w:shd w:val="clear" w:color="000000" w:fill="FFFFFF"/>
            <w:noWrap/>
            <w:hideMark/>
          </w:tcPr>
          <w:p w14:paraId="6CDCE9C9" w14:textId="54032C49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1" w:type="dxa"/>
            <w:shd w:val="clear" w:color="FFFF00" w:fill="FFFFFF"/>
            <w:hideMark/>
          </w:tcPr>
          <w:p w14:paraId="7201ACFE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численности педагогов округа в возрасте до 35 лет в общей численности педагогического состава образовательных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56788B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FFFFFF" w:fill="FFFFFF"/>
            <w:hideMark/>
          </w:tcPr>
          <w:p w14:paraId="215B5878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Отношение численности педагогов в возрасте до 35 лет к общей численности педагогов.</w:t>
            </w:r>
          </w:p>
        </w:tc>
        <w:tc>
          <w:tcPr>
            <w:tcW w:w="3686" w:type="dxa"/>
            <w:shd w:val="clear" w:color="FFFFFF" w:fill="FFFFFF"/>
            <w:hideMark/>
          </w:tcPr>
          <w:p w14:paraId="485DC39E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ЕИС "Монитор" (сводный Отчет "Кадровый мониторинг")</w:t>
            </w:r>
          </w:p>
        </w:tc>
      </w:tr>
      <w:tr w:rsidR="00801B40" w:rsidRPr="00801B40" w14:paraId="54CE1BCA" w14:textId="77777777" w:rsidTr="00402AF0">
        <w:trPr>
          <w:trHeight w:val="2684"/>
        </w:trPr>
        <w:tc>
          <w:tcPr>
            <w:tcW w:w="486" w:type="dxa"/>
            <w:shd w:val="clear" w:color="000000" w:fill="FFFFFF"/>
            <w:noWrap/>
            <w:hideMark/>
          </w:tcPr>
          <w:p w14:paraId="6AEE9C59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321" w:type="dxa"/>
            <w:shd w:val="clear" w:color="FFFF00" w:fill="FFFFFF"/>
            <w:hideMark/>
          </w:tcPr>
          <w:p w14:paraId="5EF0EC34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A27A0E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FFFFFF" w:fill="FFFFFF"/>
            <w:hideMark/>
          </w:tcPr>
          <w:p w14:paraId="03314BE6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численности учителей и воспитателей, имеющих первую или высшую квалификационную категорию к общей численности педагогов.</w:t>
            </w:r>
          </w:p>
        </w:tc>
        <w:tc>
          <w:tcPr>
            <w:tcW w:w="3686" w:type="dxa"/>
            <w:shd w:val="clear" w:color="FFFFFF" w:fill="FFFFFF"/>
            <w:hideMark/>
          </w:tcPr>
          <w:p w14:paraId="15395DBF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ЕИС "Монитор" (сводный Отчет "Кадровый мониторинг"</w:t>
            </w:r>
          </w:p>
        </w:tc>
      </w:tr>
      <w:tr w:rsidR="00801B40" w:rsidRPr="00801B40" w14:paraId="1666C963" w14:textId="77777777" w:rsidTr="00402AF0">
        <w:trPr>
          <w:trHeight w:val="3113"/>
        </w:trPr>
        <w:tc>
          <w:tcPr>
            <w:tcW w:w="486" w:type="dxa"/>
            <w:shd w:val="clear" w:color="000000" w:fill="FFFFFF"/>
            <w:noWrap/>
            <w:hideMark/>
          </w:tcPr>
          <w:p w14:paraId="020CF618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1" w:type="dxa"/>
            <w:shd w:val="clear" w:color="000000" w:fill="FFFFFF"/>
            <w:hideMark/>
          </w:tcPr>
          <w:p w14:paraId="4649A4CD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2441B27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9D26701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образования, к общему количеству выпускников 9 и 11 классов, получивших аттестат о среднем общем и основном общем образовании</w:t>
            </w:r>
          </w:p>
        </w:tc>
        <w:tc>
          <w:tcPr>
            <w:tcW w:w="3686" w:type="dxa"/>
            <w:shd w:val="clear" w:color="000000" w:fill="FFFFFF"/>
            <w:hideMark/>
          </w:tcPr>
          <w:p w14:paraId="132BA630" w14:textId="77777777" w:rsidR="00D65ED0" w:rsidRPr="00D65ED0" w:rsidRDefault="00D65ED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ОО Добрянского городского округа о поступлении выпускников 9 и 11 классов в соответствии с ежегодным приказом управления образования администрации Добрянского городского округа "О начале учебного года". </w:t>
            </w:r>
          </w:p>
          <w:p w14:paraId="061DAC4C" w14:textId="7944B85B" w:rsidR="00D65ED0" w:rsidRPr="00D65ED0" w:rsidRDefault="00D65ED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2.6. Выпуск и итоги государственной итоговой аттестации (ГИА): </w:t>
            </w:r>
          </w:p>
          <w:p w14:paraId="3B678646" w14:textId="77777777" w:rsidR="00D65ED0" w:rsidRPr="00D65ED0" w:rsidRDefault="00D65ED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и экстернов, допущенных до государственной итоговой аттестации по образовательным программам среднего общего образования (строка 09, графа 18);</w:t>
            </w:r>
          </w:p>
          <w:p w14:paraId="77C68845" w14:textId="0D96FAC8" w:rsidR="00801B40" w:rsidRPr="00801B40" w:rsidRDefault="00D65ED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т.ч. получили аттестат о среднем общем образовании (строка 10, графа 18).</w:t>
            </w:r>
          </w:p>
        </w:tc>
      </w:tr>
      <w:tr w:rsidR="00801B40" w:rsidRPr="00801B40" w14:paraId="4DF0758C" w14:textId="77777777" w:rsidTr="006A3988">
        <w:trPr>
          <w:trHeight w:val="2122"/>
        </w:trPr>
        <w:tc>
          <w:tcPr>
            <w:tcW w:w="486" w:type="dxa"/>
            <w:shd w:val="clear" w:color="000000" w:fill="FFFFFF"/>
            <w:noWrap/>
            <w:hideMark/>
          </w:tcPr>
          <w:p w14:paraId="00489A6F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321" w:type="dxa"/>
            <w:shd w:val="clear" w:color="000000" w:fill="FFFFFF"/>
            <w:hideMark/>
          </w:tcPr>
          <w:p w14:paraId="7C594207" w14:textId="1A67B75B" w:rsidR="00801B40" w:rsidRPr="00801B40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в возрасте с 7 до 18 лет, не совершивших преступления и общественно-опасные деяния, в общей численности обучающихся по образовательным программам в общеобразовательных организациях, подведомственных управлению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746FF1C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49B57AB6" w14:textId="15B64FB2" w:rsidR="00801B40" w:rsidRPr="00801B40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разницы общего количества обучающихся в возрасте с 7 до 18 лет и количества, обучающихся в возрасте с 7 до 18 лет, совершивших преступления и общественно-опасные деяния, к общей численности обучающихся по образовательным программам в общеобразовательных организациях, подведомственных управлению образования</w:t>
            </w:r>
          </w:p>
        </w:tc>
        <w:tc>
          <w:tcPr>
            <w:tcW w:w="3686" w:type="dxa"/>
            <w:shd w:val="clear" w:color="000000" w:fill="FFFFFF"/>
          </w:tcPr>
          <w:p w14:paraId="74132271" w14:textId="22299BB3" w:rsidR="006A3988" w:rsidRPr="006A3988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1.3. Сведения о численности обучающихся по образовательным программам:</w:t>
            </w:r>
          </w:p>
          <w:p w14:paraId="1D1D2D88" w14:textId="77777777" w:rsidR="006A3988" w:rsidRPr="006A3988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начального общего образования (строка 01, графа 03);</w:t>
            </w:r>
          </w:p>
          <w:p w14:paraId="03688437" w14:textId="0A870D58" w:rsidR="006A3988" w:rsidRPr="006A3988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основного общего образования (строка 11, графа 03);</w:t>
            </w:r>
          </w:p>
          <w:p w14:paraId="5BA4E23C" w14:textId="74D42A5D" w:rsidR="006A3988" w:rsidRPr="006A3988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программам среднего общего образования (строка 21, графа 03);</w:t>
            </w:r>
          </w:p>
          <w:p w14:paraId="5F87F0BC" w14:textId="77777777" w:rsidR="006A3988" w:rsidRPr="006A3988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образования обучающихся с умственной отсталостью (интеллектуальными нарушениями) (строка 31, графа 03).</w:t>
            </w:r>
          </w:p>
          <w:p w14:paraId="52317208" w14:textId="0146A62C" w:rsidR="00801B40" w:rsidRPr="00801B40" w:rsidRDefault="006A3988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ОМВД о состоянии подростковой преступности за отчетный период.</w:t>
            </w:r>
          </w:p>
        </w:tc>
      </w:tr>
      <w:tr w:rsidR="00801B40" w:rsidRPr="00801B40" w14:paraId="5CB8CE6D" w14:textId="77777777" w:rsidTr="00402AF0">
        <w:trPr>
          <w:trHeight w:val="70"/>
        </w:trPr>
        <w:tc>
          <w:tcPr>
            <w:tcW w:w="486" w:type="dxa"/>
            <w:shd w:val="clear" w:color="000000" w:fill="FFFFFF"/>
            <w:noWrap/>
            <w:hideMark/>
          </w:tcPr>
          <w:p w14:paraId="1CDA5121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1" w:type="dxa"/>
            <w:shd w:val="clear" w:color="000000" w:fill="FFFFFF"/>
          </w:tcPr>
          <w:p w14:paraId="7E672D96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 от общей численности детей и молодежи в возрасте 5-18 лет</w:t>
            </w:r>
          </w:p>
        </w:tc>
        <w:tc>
          <w:tcPr>
            <w:tcW w:w="1275" w:type="dxa"/>
            <w:shd w:val="clear" w:color="000000" w:fill="FFFFFF"/>
            <w:noWrap/>
          </w:tcPr>
          <w:p w14:paraId="574CC216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36BEA3BA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обучающихся в возрасте 5-18 лет, охваченных образовательными программами дополнительного образования детей к общему числу обучающихся в возрасте 5-18 лет</w:t>
            </w:r>
          </w:p>
        </w:tc>
        <w:tc>
          <w:tcPr>
            <w:tcW w:w="3686" w:type="dxa"/>
            <w:shd w:val="clear" w:color="000000" w:fill="FFFFFF"/>
          </w:tcPr>
          <w:p w14:paraId="4A9BF953" w14:textId="620CE6AE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АИС "ЭПОС. Аналитика и отчетность". Система "ЭПОС.ДО". Отчетная форма "Доля детей, обучающихся по программам ДО", статистические данные, направляемые Министерством социального развития ежегодно</w:t>
            </w:r>
          </w:p>
        </w:tc>
      </w:tr>
      <w:tr w:rsidR="00801B40" w:rsidRPr="00801B40" w14:paraId="01B78EBE" w14:textId="77777777" w:rsidTr="00402AF0">
        <w:trPr>
          <w:trHeight w:val="1983"/>
        </w:trPr>
        <w:tc>
          <w:tcPr>
            <w:tcW w:w="486" w:type="dxa"/>
            <w:shd w:val="clear" w:color="000000" w:fill="FFFFFF"/>
            <w:noWrap/>
          </w:tcPr>
          <w:p w14:paraId="38D40D4E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21" w:type="dxa"/>
            <w:shd w:val="clear" w:color="000000" w:fill="FFFFFF"/>
          </w:tcPr>
          <w:p w14:paraId="3A0F3DC8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охваченных деятельностью центров "Точка роста", детских технопарков «Кванториум», "ДНК", центров цифрового образования "IT-куб"</w:t>
            </w:r>
          </w:p>
        </w:tc>
        <w:tc>
          <w:tcPr>
            <w:tcW w:w="1275" w:type="dxa"/>
            <w:shd w:val="clear" w:color="000000" w:fill="FFFFFF"/>
            <w:noWrap/>
          </w:tcPr>
          <w:p w14:paraId="75C1F054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</w:tcPr>
          <w:p w14:paraId="2C2DBC14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обучающихся, охваченных деятельностью центров "Точка роста", детских технопарков «Кванториум», "ДНК", центров цифрового образования "IT-куб", к общему количеству обучающихся общеобразовательных организаций Добрянского городского округа</w:t>
            </w:r>
          </w:p>
        </w:tc>
        <w:tc>
          <w:tcPr>
            <w:tcW w:w="3686" w:type="dxa"/>
            <w:shd w:val="clear" w:color="000000" w:fill="FFFFFF"/>
          </w:tcPr>
          <w:p w14:paraId="0EA7BEA2" w14:textId="11535488" w:rsidR="00806864" w:rsidRPr="00806864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Справки общеобразовательных организаций ОО ДГО об охвате детей дополнительными общеобразовательными программами центров "Точка роста", детских технопарков «Кванториум», "ДНК", центров цифрового образования "IT-куб".</w:t>
            </w:r>
          </w:p>
          <w:p w14:paraId="63E318BD" w14:textId="0AFEAC8E" w:rsidR="00806864" w:rsidRPr="00806864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личного кабинета управления образования администрации Добрянского городского округа на сайте ГИВЦ Минпросвещения России. Система пообъектного учета, сбор данных по форме ОО-1 (Общее образование) - раздел 1.3. Сведения о численности обучающихся по образовательным программам:</w:t>
            </w:r>
          </w:p>
          <w:p w14:paraId="1A38FD3A" w14:textId="77777777" w:rsidR="00806864" w:rsidRPr="00806864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начального общего образования (строка 01, графа 03);</w:t>
            </w:r>
          </w:p>
          <w:p w14:paraId="1757697F" w14:textId="7A55CC9B" w:rsidR="00806864" w:rsidRPr="00806864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основного общего образования (строка 11, графа 03);</w:t>
            </w:r>
          </w:p>
          <w:p w14:paraId="0F76F54C" w14:textId="6F12C607" w:rsidR="00806864" w:rsidRPr="00806864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программам среднего общего образования (строка 21, графа 03);</w:t>
            </w:r>
          </w:p>
          <w:p w14:paraId="719524F4" w14:textId="61AD1503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обучающихся по образовательным программам образования обучающихся с умственной отсталостью (интеллектуальными нарушениями) (строка 31, графа 03).</w:t>
            </w:r>
          </w:p>
        </w:tc>
      </w:tr>
      <w:tr w:rsidR="00801B40" w:rsidRPr="00801B40" w14:paraId="73D0B239" w14:textId="77777777" w:rsidTr="00402AF0">
        <w:trPr>
          <w:trHeight w:val="1270"/>
        </w:trPr>
        <w:tc>
          <w:tcPr>
            <w:tcW w:w="486" w:type="dxa"/>
            <w:shd w:val="clear" w:color="000000" w:fill="FFFFFF"/>
            <w:noWrap/>
            <w:hideMark/>
          </w:tcPr>
          <w:p w14:paraId="79EBCA4A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1" w:type="dxa"/>
            <w:shd w:val="clear" w:color="000000" w:fill="FFFFFF"/>
            <w:hideMark/>
          </w:tcPr>
          <w:p w14:paraId="65BC6CB9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различными формами оздоровления и отдыха, от числа детей в возрасте от 7 до 17 лет включительно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A3DF16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11B1F55C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количества охваченных отдыхом и оздоровлением детей к численности населения Добрянского городского округа в возрасте от 7 до 17 лет по данным статистики 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31E7DE5" w14:textId="6E0235BA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 о летней оздоровительной кампании, статистические данные, направляемые Министерством социального развития ежегодно</w:t>
            </w:r>
          </w:p>
        </w:tc>
      </w:tr>
      <w:tr w:rsidR="00801B40" w:rsidRPr="00801B40" w14:paraId="71478C1B" w14:textId="77777777" w:rsidTr="00402AF0">
        <w:trPr>
          <w:trHeight w:val="991"/>
        </w:trPr>
        <w:tc>
          <w:tcPr>
            <w:tcW w:w="486" w:type="dxa"/>
            <w:shd w:val="clear" w:color="000000" w:fill="FFFFFF"/>
            <w:noWrap/>
            <w:hideMark/>
          </w:tcPr>
          <w:p w14:paraId="2852349D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21" w:type="dxa"/>
            <w:shd w:val="clear" w:color="000000" w:fill="FFFFFF"/>
            <w:hideMark/>
          </w:tcPr>
          <w:p w14:paraId="74B920E8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имеющих лицензию на образовательную деятельность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D30551F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423E7561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ОО, имеющих лицензию к общему количеству ОО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129F276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управления образования администрации Добрянского городского округа с реестром лицензий ОО</w:t>
            </w:r>
          </w:p>
        </w:tc>
      </w:tr>
      <w:tr w:rsidR="00801B40" w:rsidRPr="00801B40" w14:paraId="30F11D77" w14:textId="77777777" w:rsidTr="00402AF0">
        <w:trPr>
          <w:trHeight w:val="2407"/>
        </w:trPr>
        <w:tc>
          <w:tcPr>
            <w:tcW w:w="486" w:type="dxa"/>
            <w:shd w:val="clear" w:color="000000" w:fill="FFFFFF"/>
            <w:noWrap/>
            <w:hideMark/>
          </w:tcPr>
          <w:p w14:paraId="60D6CFBC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1" w:type="dxa"/>
            <w:shd w:val="clear" w:color="000000" w:fill="FFFFFF"/>
            <w:hideMark/>
          </w:tcPr>
          <w:p w14:paraId="2BEC36BD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организованным бесплатным горячим питанием учащихся 1-4 классов и отдельных категорий учащихся общеобразовательных учреждений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FFCC987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3FCC03DA" w14:textId="7FDDA0FE" w:rsidR="00801B40" w:rsidRPr="00806864" w:rsidRDefault="006148FC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4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численности обучающихся 1-4 классов, обеспеченных бесплатным питанием (в соответствии с Приказами учреждений об обеспечении бесплатным горячим питанием обучающихся, получающих начальное общее образование в муниципальных образовательных организациях) и численности отдельных категорий учащихся (малоимущие и многодетные малоимущие в соответствии с приказами учреждений об обеспечении отдельных категорий учащихся бесплатным питанием) к численности обучающихся 1 - 4 классов (в соответствии с Приказами учреждений о комплектовании классов на учебный год) и численности отдельных категорий учащихся 5-11 классов (малоимущие и многодетные малоимущие в соответствии с приказами учреждений об обеспечении  отдельных категорий учащихся бесплатным питанием)</w:t>
            </w:r>
          </w:p>
        </w:tc>
        <w:tc>
          <w:tcPr>
            <w:tcW w:w="3686" w:type="dxa"/>
            <w:shd w:val="clear" w:color="000000" w:fill="FFFFFF"/>
            <w:hideMark/>
          </w:tcPr>
          <w:p w14:paraId="10BCAACC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об организации питания управления образования</w:t>
            </w:r>
          </w:p>
        </w:tc>
      </w:tr>
      <w:tr w:rsidR="00801B40" w:rsidRPr="00801B40" w14:paraId="2DF41400" w14:textId="77777777" w:rsidTr="00402AF0">
        <w:trPr>
          <w:trHeight w:val="1530"/>
        </w:trPr>
        <w:tc>
          <w:tcPr>
            <w:tcW w:w="486" w:type="dxa"/>
            <w:shd w:val="clear" w:color="000000" w:fill="FFFFFF"/>
            <w:noWrap/>
            <w:hideMark/>
          </w:tcPr>
          <w:p w14:paraId="2D043167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1" w:type="dxa"/>
            <w:shd w:val="clear" w:color="000000" w:fill="FFFFFF"/>
            <w:hideMark/>
          </w:tcPr>
          <w:p w14:paraId="14E807B9" w14:textId="61D3DFC8" w:rsidR="00801B40" w:rsidRPr="00801B40" w:rsidRDefault="006B0C99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образования для обучающихся, проживающих в сельских, труднодоступных и удаленных населенных пунктах, путем организации транспортного обеспечения и предоставления мер социальной поддержки педагогическим работникам, проживающим в сельской местности и поселках городского типа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47D0CBD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D1D770C" w14:textId="77777777" w:rsidR="006B0C99" w:rsidRDefault="006B0C99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Отношение численности обучающихся, обеспеченных подвозом к численности обучающихся, нуждающихся в подвозе. </w:t>
            </w:r>
          </w:p>
          <w:p w14:paraId="6C5E81E7" w14:textId="3E6CCC12" w:rsidR="00801B40" w:rsidRPr="00801B40" w:rsidRDefault="006B0C99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Отношение численности педагогических работников, проживающих в сельских населенных пунктах и поселках городского типа, которым предоставлены меры социальной поддержки к численности педагогических работников, 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заявившихся на получение мер социальной поддержки.</w:t>
            </w:r>
          </w:p>
        </w:tc>
        <w:tc>
          <w:tcPr>
            <w:tcW w:w="3686" w:type="dxa"/>
            <w:shd w:val="clear" w:color="000000" w:fill="FFFFFF"/>
            <w:hideMark/>
          </w:tcPr>
          <w:p w14:paraId="7D36207D" w14:textId="77777777" w:rsidR="006B0C99" w:rsidRDefault="006B0C99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управления образования администрации Добрянского городского округа</w:t>
            </w:r>
          </w:p>
          <w:p w14:paraId="261FD326" w14:textId="0AC6926E" w:rsidR="00801B40" w:rsidRPr="00801B40" w:rsidRDefault="006B0C99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тчет о финансировании расходов, связанных с выполнением Закона Пермского края от 1 июня 2010 г. N 628-ПК "О социальной поддержке педагогических работников государственных и муниципальных образовательных организаций, работающих и проживающих в 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сельской местности и поселках городского типа (рабочих поселках), по оплате жилого помещения и коммунальных услуг"</w:t>
            </w:r>
          </w:p>
        </w:tc>
      </w:tr>
      <w:tr w:rsidR="00801B40" w:rsidRPr="00801B40" w14:paraId="22B3B964" w14:textId="77777777" w:rsidTr="00402AF0">
        <w:trPr>
          <w:trHeight w:val="1696"/>
        </w:trPr>
        <w:tc>
          <w:tcPr>
            <w:tcW w:w="486" w:type="dxa"/>
            <w:shd w:val="clear" w:color="000000" w:fill="FFFFFF"/>
            <w:noWrap/>
            <w:hideMark/>
          </w:tcPr>
          <w:p w14:paraId="07B01603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21" w:type="dxa"/>
            <w:shd w:val="clear" w:color="000000" w:fill="FFFFFF"/>
            <w:hideMark/>
          </w:tcPr>
          <w:p w14:paraId="0949304C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от 1,5 до 3 лет, которым предоставлена услуга дошкольного образования от количества заявившихся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CE7C1B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277C0B9D" w14:textId="25BD183D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детей в возрасте от 1,5 до 3 лет, зарегистрированных в ИС «Контингент», зачисленных в детские сады, к общему количеству детей, зарегистрированных в ИС «Контингент» в возрасте от 1,5 до 3 лет</w:t>
            </w:r>
          </w:p>
        </w:tc>
        <w:tc>
          <w:tcPr>
            <w:tcW w:w="3686" w:type="dxa"/>
            <w:shd w:val="clear" w:color="000000" w:fill="FFFFFF"/>
            <w:noWrap/>
            <w:hideMark/>
          </w:tcPr>
          <w:p w14:paraId="305CAD14" w14:textId="77777777" w:rsidR="009E608C" w:rsidRPr="006B0C99" w:rsidRDefault="009E608C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Скриншоты из личного кабинета информационной системы</w:t>
            </w:r>
            <w:r w:rsidR="00801B40"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"Контингент"</w:t>
            </w: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DA23984" w14:textId="77777777" w:rsidR="00801B40" w:rsidRPr="006B0C99" w:rsidRDefault="009E608C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поданных заявлений на предоставление услуги</w:t>
            </w:r>
          </w:p>
          <w:p w14:paraId="5CD64220" w14:textId="595B64DB" w:rsidR="009E608C" w:rsidRPr="006B0C99" w:rsidRDefault="009E608C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зачисленных в детские сады и дошкольные группы по каждому учреждению</w:t>
            </w:r>
          </w:p>
        </w:tc>
      </w:tr>
      <w:tr w:rsidR="00801B40" w:rsidRPr="00801B40" w14:paraId="07CD0051" w14:textId="77777777" w:rsidTr="00402AF0">
        <w:trPr>
          <w:trHeight w:val="1412"/>
        </w:trPr>
        <w:tc>
          <w:tcPr>
            <w:tcW w:w="486" w:type="dxa"/>
            <w:shd w:val="clear" w:color="000000" w:fill="FFFFFF"/>
            <w:noWrap/>
            <w:hideMark/>
          </w:tcPr>
          <w:p w14:paraId="63DBFD27" w14:textId="53856E05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21" w:type="dxa"/>
            <w:shd w:val="clear" w:color="000000" w:fill="FFFFFF"/>
            <w:hideMark/>
          </w:tcPr>
          <w:p w14:paraId="098BBA7B" w14:textId="57FB2175" w:rsidR="00801B40" w:rsidRPr="00801B40" w:rsidRDefault="0053477E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="00801B40"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образовательных организаций, отнесённых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07DB715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86" w:type="dxa"/>
            <w:shd w:val="clear" w:color="000000" w:fill="FFFFFF"/>
            <w:hideMark/>
          </w:tcPr>
          <w:p w14:paraId="01E57587" w14:textId="08160C08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количества приоритетных объектов, имеющих статус "Доступные полностью" и "Доступные частично», к общему количеству приоритетных объектов</w:t>
            </w:r>
          </w:p>
        </w:tc>
        <w:tc>
          <w:tcPr>
            <w:tcW w:w="3686" w:type="dxa"/>
            <w:shd w:val="clear" w:color="000000" w:fill="FFFFFF"/>
            <w:hideMark/>
          </w:tcPr>
          <w:p w14:paraId="5ADA67CD" w14:textId="45B8EF0E" w:rsidR="00801B40" w:rsidRPr="00801B40" w:rsidRDefault="00806864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Скриншот личного кабинета управления образования администрации Добрянского городского округа на Карте доступности Пермского края</w:t>
            </w:r>
          </w:p>
        </w:tc>
      </w:tr>
      <w:tr w:rsidR="00801B40" w:rsidRPr="00801B40" w14:paraId="651EC741" w14:textId="77777777" w:rsidTr="00402AF0">
        <w:trPr>
          <w:trHeight w:val="1800"/>
        </w:trPr>
        <w:tc>
          <w:tcPr>
            <w:tcW w:w="486" w:type="dxa"/>
            <w:shd w:val="clear" w:color="000000" w:fill="FFFFFF"/>
            <w:noWrap/>
          </w:tcPr>
          <w:p w14:paraId="5E91C990" w14:textId="77777777" w:rsidR="00801B40" w:rsidRPr="00801B40" w:rsidRDefault="00801B40" w:rsidP="002852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21" w:type="dxa"/>
            <w:shd w:val="clear" w:color="000000" w:fill="FFFFFF"/>
          </w:tcPr>
          <w:p w14:paraId="19EE849D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устроенных спортивных площадок на территории образовательных организаций в Добрянском городском округе</w:t>
            </w:r>
          </w:p>
        </w:tc>
        <w:tc>
          <w:tcPr>
            <w:tcW w:w="1275" w:type="dxa"/>
            <w:shd w:val="clear" w:color="000000" w:fill="FFFFFF"/>
            <w:noWrap/>
          </w:tcPr>
          <w:p w14:paraId="6E6232B4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86" w:type="dxa"/>
            <w:shd w:val="clear" w:color="000000" w:fill="FFFFFF"/>
          </w:tcPr>
          <w:p w14:paraId="48402205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устроенных спортивных площадок на территории ОО</w:t>
            </w:r>
          </w:p>
        </w:tc>
        <w:tc>
          <w:tcPr>
            <w:tcW w:w="3686" w:type="dxa"/>
            <w:shd w:val="clear" w:color="000000" w:fill="FFFFFF"/>
          </w:tcPr>
          <w:p w14:paraId="5F65F2C1" w14:textId="77777777" w:rsidR="00801B40" w:rsidRPr="00801B40" w:rsidRDefault="00801B40" w:rsidP="00285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достижении показателей результативности использования субсидий на устройство спортивных площадок и их оснащение из АЦК-планирование. Справка управления образования администрации Добрянского городского округа с перечнем количества устроенных спортивных площадок в ОО</w:t>
            </w:r>
          </w:p>
        </w:tc>
      </w:tr>
    </w:tbl>
    <w:p w14:paraId="1FE4E45E" w14:textId="77777777" w:rsidR="00801B40" w:rsidRDefault="00801B40" w:rsidP="00285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01B40" w:rsidSect="00801B40">
          <w:pgSz w:w="16838" w:h="11906" w:orient="landscape"/>
          <w:pgMar w:top="1701" w:right="567" w:bottom="567" w:left="1134" w:header="709" w:footer="709" w:gutter="0"/>
          <w:cols w:space="708"/>
          <w:docGrid w:linePitch="360"/>
        </w:sectPr>
      </w:pPr>
    </w:p>
    <w:p w14:paraId="39AB0018" w14:textId="77777777" w:rsidR="00801B40" w:rsidRPr="00801B40" w:rsidRDefault="00801B40" w:rsidP="002852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01B40">
        <w:rPr>
          <w:rFonts w:ascii="Times New Roman" w:hAnsi="Times New Roman" w:cs="Times New Roman"/>
          <w:b/>
          <w:sz w:val="28"/>
          <w:szCs w:val="28"/>
        </w:rPr>
        <w:t xml:space="preserve">. Объёмы и источники финансирования </w:t>
      </w: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702F72B4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Средства на реализацию муниципальной программы утверждаются решением Думы Добрянского городского округа о бюджете Добрянского городского округа на очередной финансовый год и на плановый период.</w:t>
      </w:r>
    </w:p>
    <w:p w14:paraId="6750695C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объёма средств, предусмотренных на ее реализацию, между отдельными мероприятиями и годами.</w:t>
      </w:r>
    </w:p>
    <w:p w14:paraId="12E6E5F0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Объёмы и источники финансирования мероприятий муниципальной программы</w:t>
      </w:r>
      <w:r w:rsidRPr="00801B40">
        <w:rPr>
          <w:rFonts w:ascii="Times New Roman" w:hAnsi="Times New Roman" w:cs="Times New Roman"/>
          <w:kern w:val="32"/>
          <w:sz w:val="28"/>
          <w:szCs w:val="28"/>
        </w:rPr>
        <w:t xml:space="preserve"> представлены в приложении к муниципальной программе. </w:t>
      </w:r>
      <w:r w:rsidRPr="00801B40">
        <w:rPr>
          <w:rFonts w:ascii="Times New Roman" w:hAnsi="Times New Roman" w:cs="Times New Roman"/>
          <w:kern w:val="32"/>
          <w:sz w:val="28"/>
          <w:szCs w:val="28"/>
        </w:rPr>
        <w:br/>
        <w:t>Обоснование объема финансовых ресурсов, необходимого для реализации муниципальной программы, отражено в расчетах к проекту бюджета</w:t>
      </w:r>
      <w:r w:rsidRPr="00801B4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на очередной финансовый год и на плановый период</w:t>
      </w:r>
      <w:r w:rsidRPr="00801B40">
        <w:rPr>
          <w:rFonts w:ascii="Times New Roman" w:hAnsi="Times New Roman" w:cs="Times New Roman"/>
          <w:kern w:val="32"/>
          <w:sz w:val="28"/>
          <w:szCs w:val="28"/>
        </w:rPr>
        <w:t>.</w:t>
      </w:r>
    </w:p>
    <w:p w14:paraId="3F0FD0CD" w14:textId="77777777" w:rsidR="00801B40" w:rsidRPr="00801B40" w:rsidRDefault="00801B40" w:rsidP="002852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14:paraId="5CCA0D2E" w14:textId="77777777" w:rsidR="00801B40" w:rsidRPr="00801B40" w:rsidRDefault="00801B40" w:rsidP="00285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. Система управления реализацией муниципальной программы</w:t>
      </w:r>
    </w:p>
    <w:p w14:paraId="4E688D34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Руководство муниципальной программой осуществляет заместитель главы администрации Добрянского городского округа по социальной политике.</w:t>
      </w:r>
    </w:p>
    <w:p w14:paraId="1BFDE886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Руководитель муниципальной программы является лицом, ответственным за своевременную и качественную организацию реализации мероприятий муниципальной программы, осуществляет координирующее взаимодействие деятельности субъектов, участвующих в реализации программных мероприятий, осуществляет общее руководство и общий контроль за реализацией муниципальной программы.</w:t>
      </w:r>
    </w:p>
    <w:p w14:paraId="76CE0DFB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начальник управления образования администрации Добрянского городского округа.</w:t>
      </w:r>
    </w:p>
    <w:p w14:paraId="59FB43F4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 администрация Добрянского городского округа (МКУ «Управление капитального строительства»), управление финансов и казначейства администрации Добрянского городского округа (МКУ «Единый центр учета и отчетности»), управление имущественных и земельных отношений администрации Добрянского городского округа (МКУ «Добрянское имущественное казначейство), управление социального развития администрации Добрянского городского округа (учреждения культуры Добрянского городского округа, учреждения спортивной подготовки Добрянского городского округа).</w:t>
      </w:r>
    </w:p>
    <w:p w14:paraId="176AC587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муниципальной программы обеспечивают своевременную и качественную реализацию мероприятий муниципальной программы в соответствии с разделом 6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а также эффективное и целевое использование бюджетных средств.</w:t>
      </w:r>
    </w:p>
    <w:p w14:paraId="7628965E" w14:textId="77777777" w:rsidR="00801B40" w:rsidRPr="00801B40" w:rsidRDefault="00801B40" w:rsidP="00285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 xml:space="preserve">Управление территориального развития и экономики осуществляет сбор отчета о реализации муниципальной программы и проведение оценки ее эффективности. На основании рассмотрения материалов о ходе реализации </w:t>
      </w:r>
      <w:r w:rsidRPr="00801B40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мероприятий, выявлении технических и организационных проблем в ходе реализации, в перечни и содержание мероприятий муниципальной программы, а также в их ресурсное обеспечение могут вносится корректировки. Кроме того, возможно ежегодное уточнение наименований и плановых значений целевых показателей, с учетом выделяемых на реализацию муниципальной программы средств.</w:t>
      </w:r>
    </w:p>
    <w:p w14:paraId="66BC8457" w14:textId="0E1D9B8C" w:rsidR="00322196" w:rsidRDefault="00801B40" w:rsidP="00285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t>Финансовый контроль использования средств бюджета, направленных на реализацию муниципальной программы, осуществляется управлением финансов и казначейства администрации Добрянского городского округа и иными структурами в соответствии с действующим законодательством.</w:t>
      </w:r>
    </w:p>
    <w:p w14:paraId="5F5C29D2" w14:textId="77777777" w:rsidR="00801B40" w:rsidRDefault="00801B40" w:rsidP="00285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01B40" w:rsidSect="00801B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4A449A81" w14:textId="77777777" w:rsidR="00801B40" w:rsidRPr="00801B40" w:rsidRDefault="00801B40" w:rsidP="00285234">
      <w:pPr>
        <w:spacing w:after="0" w:line="240" w:lineRule="auto"/>
        <w:ind w:left="8364" w:firstLine="708"/>
        <w:rPr>
          <w:rFonts w:ascii="Times New Roman" w:hAnsi="Times New Roman" w:cs="Times New Roman"/>
          <w:sz w:val="28"/>
          <w:szCs w:val="28"/>
        </w:rPr>
      </w:pPr>
      <w:r w:rsidRPr="00801B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4E830D0" w14:textId="77777777" w:rsidR="00801B40" w:rsidRPr="00801B40" w:rsidRDefault="00801B40" w:rsidP="0028523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>к программе Добрянского городского округа «Функционирование и развитие системы образования</w:t>
      </w:r>
      <w:r w:rsidRPr="00801B40">
        <w:rPr>
          <w:rFonts w:ascii="Times New Roman" w:hAnsi="Times New Roman" w:cs="Times New Roman"/>
          <w:sz w:val="28"/>
          <w:szCs w:val="28"/>
        </w:rPr>
        <w:t>»</w:t>
      </w:r>
    </w:p>
    <w:p w14:paraId="1AA56F43" w14:textId="77777777" w:rsidR="00801B40" w:rsidRPr="00801B40" w:rsidRDefault="00801B40" w:rsidP="0028523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sz w:val="28"/>
          <w:szCs w:val="28"/>
          <w:lang w:eastAsia="en-US"/>
        </w:rPr>
        <w:t xml:space="preserve">от                             № </w:t>
      </w:r>
    </w:p>
    <w:p w14:paraId="57AA0CB2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1B5DAB6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8944DFD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5C809C87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4D01DB08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1B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5B3CA2A3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40383429" w14:textId="77777777" w:rsidR="00801B40" w:rsidRPr="00801B40" w:rsidRDefault="00801B40" w:rsidP="002852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en-US"/>
        </w:rPr>
      </w:pPr>
      <w:r w:rsidRPr="00801B40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B40">
        <w:rPr>
          <w:rFonts w:ascii="Times New Roman" w:hAnsi="Times New Roman" w:cs="Times New Roman"/>
          <w:lang w:eastAsia="en-US"/>
        </w:rPr>
        <w:t>(тыс.руб.)</w:t>
      </w:r>
    </w:p>
    <w:tbl>
      <w:tblPr>
        <w:tblW w:w="52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014"/>
        <w:gridCol w:w="1442"/>
        <w:gridCol w:w="1166"/>
        <w:gridCol w:w="550"/>
        <w:gridCol w:w="1196"/>
        <w:gridCol w:w="1196"/>
        <w:gridCol w:w="1476"/>
        <w:gridCol w:w="1118"/>
        <w:gridCol w:w="850"/>
        <w:gridCol w:w="850"/>
        <w:gridCol w:w="850"/>
        <w:gridCol w:w="1701"/>
      </w:tblGrid>
      <w:tr w:rsidR="00B711CC" w:rsidRPr="00B711CC" w14:paraId="0011BB69" w14:textId="77777777" w:rsidTr="00B711CC">
        <w:trPr>
          <w:trHeight w:val="30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7BF0B4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71F782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D52660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D22362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4833A0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955CE3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BD4421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38F80B6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1221" w:type="pct"/>
            <w:gridSpan w:val="4"/>
            <w:shd w:val="clear" w:color="auto" w:fill="auto"/>
            <w:vAlign w:val="center"/>
            <w:hideMark/>
          </w:tcPr>
          <w:p w14:paraId="1ED9435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0FF9DFF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B711CC" w:rsidRPr="00B711CC" w14:paraId="754527C2" w14:textId="77777777" w:rsidTr="000C133A">
        <w:trPr>
          <w:trHeight w:val="1980"/>
        </w:trPr>
        <w:tc>
          <w:tcPr>
            <w:tcW w:w="205" w:type="pct"/>
            <w:vMerge/>
            <w:vAlign w:val="center"/>
            <w:hideMark/>
          </w:tcPr>
          <w:p w14:paraId="434F52D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52A7FB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A73578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5F145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3FDBAA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7EF4EC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2AEBAA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43C857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0DA1C4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A7B79A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F7D05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017CF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66" w:type="pct"/>
            <w:vMerge/>
            <w:vAlign w:val="center"/>
            <w:hideMark/>
          </w:tcPr>
          <w:p w14:paraId="6F24E3D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5F27669" w14:textId="77777777" w:rsidTr="000C133A">
        <w:trPr>
          <w:trHeight w:val="300"/>
        </w:trPr>
        <w:tc>
          <w:tcPr>
            <w:tcW w:w="205" w:type="pct"/>
            <w:shd w:val="clear" w:color="auto" w:fill="auto"/>
            <w:vAlign w:val="center"/>
            <w:hideMark/>
          </w:tcPr>
          <w:p w14:paraId="7913457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735D008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1E9551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F713EE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687C41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7A96F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FEA88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93DCE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D8E0A3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D2AD5B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54CED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905C1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429782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711CC" w:rsidRPr="00B711CC" w14:paraId="383B0736" w14:textId="77777777" w:rsidTr="00B711CC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51B56D9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комплексное и эффективное развитие системы образования, обеспечивающее повышение доступности и качества образования для населения Добрянского городского округа</w:t>
            </w:r>
          </w:p>
        </w:tc>
      </w:tr>
      <w:tr w:rsidR="00B711CC" w:rsidRPr="00B711CC" w14:paraId="01B2BE4A" w14:textId="77777777" w:rsidTr="00B711CC">
        <w:trPr>
          <w:trHeight w:val="1215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4B90810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1: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B711CC" w:rsidRPr="00B711CC" w14:paraId="1B81EBCE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13AE11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0AD92E4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прав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на получение общедоступного бесплатного дошкольного, начального, основного, среднего общего и дополнительного образования детей в образовательных организациях"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8D065B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7DDB82E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693A058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1F2E0A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DA0A9D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9FF0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DEC5AD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1 717 080,0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65066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567 939,2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1B273D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574 570,4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13707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574 570,4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32CDC8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174BDFC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62CD9F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1B36A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B1B7E7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8CE806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521CB7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C873CF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B3BAEE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B2549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3653D4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ED1E7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B5B7B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5663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66" w:type="pct"/>
            <w:vMerge/>
            <w:vAlign w:val="center"/>
            <w:hideMark/>
          </w:tcPr>
          <w:p w14:paraId="572A00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5084AA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6A9186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01925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FAEFA4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6C443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24FC1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8B099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9F707E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F701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2FB009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253154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63E5A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6F60C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66" w:type="pct"/>
            <w:vMerge/>
            <w:vAlign w:val="center"/>
            <w:hideMark/>
          </w:tcPr>
          <w:p w14:paraId="5AE1D72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826DABA" w14:textId="77777777" w:rsidTr="000C133A">
        <w:trPr>
          <w:trHeight w:val="70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A251E8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0D10A8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30D30A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C11512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F6281F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120707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48764C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317D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AA3F72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4DC2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2E63B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FB3FC9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6EDB43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100%;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Сохранение отношения среднемесячной заработной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платы педагогических работников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округом, 100%</w:t>
            </w:r>
          </w:p>
        </w:tc>
      </w:tr>
      <w:tr w:rsidR="00B711CC" w:rsidRPr="00B711CC" w14:paraId="2E735D6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44794D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92715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B826E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5D194B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4433F1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2D7626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BE7644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F0DF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1C6FD6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1 619 917,8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F4B9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535 551,8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6C16F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BADE0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542 183,0</w:t>
            </w:r>
          </w:p>
        </w:tc>
        <w:tc>
          <w:tcPr>
            <w:tcW w:w="566" w:type="pct"/>
            <w:vMerge/>
            <w:vAlign w:val="center"/>
            <w:hideMark/>
          </w:tcPr>
          <w:p w14:paraId="00E363A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E04629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CF3C18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E53C0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E1E9FA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7E0381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FD4A37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B8F252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D903F39" w14:textId="797C54E1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83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D65E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7F60FD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1 593 189,2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5CA123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526 715,2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42A469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533 237,0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4E2CA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533 237,0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B823A5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0E201EC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79B5F1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E9B01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B9046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8DDE37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36CBA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D4451A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0FC621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4B9C3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8B5BD7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1 593 189,2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32F21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526 715,2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7F725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533 237,0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4516C3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533 237,0</w:t>
            </w:r>
          </w:p>
        </w:tc>
        <w:tc>
          <w:tcPr>
            <w:tcW w:w="566" w:type="pct"/>
            <w:vMerge/>
            <w:vAlign w:val="center"/>
            <w:hideMark/>
          </w:tcPr>
          <w:p w14:paraId="22B124E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5279EEC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C32446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F763F8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670661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7109CC8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FF87C7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ACC7D4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1EF2400" w14:textId="404C1D06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83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44DC9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2D0008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0B0E2D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FACA3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2D5D3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8 946,0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435E567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4D4A78F7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304373A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6B8495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6E1BA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CBB1B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116424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DF8DF0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F8FFA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9B81C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5CEF4B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8F754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944D8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705C8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8 946,0</w:t>
            </w:r>
          </w:p>
        </w:tc>
        <w:tc>
          <w:tcPr>
            <w:tcW w:w="566" w:type="pct"/>
            <w:vMerge/>
            <w:vAlign w:val="center"/>
            <w:hideMark/>
          </w:tcPr>
          <w:p w14:paraId="0A99E74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D9D5C4F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B0F10F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7C0A4EB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работ) муниципальных учреждений (организаций)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27A6F7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E11F4E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0100113000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1EE0EC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4B8AFB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C3AFD9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2057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9DB4FB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D8EB13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30931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87E7F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8D9FB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Сохранение отношения среднемесячной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округе, 100%</w:t>
            </w:r>
          </w:p>
        </w:tc>
      </w:tr>
      <w:tr w:rsidR="00B711CC" w:rsidRPr="00B711CC" w14:paraId="34B6325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687CCB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2C4E98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74005E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E30818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5E5306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47F4AC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2642F8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7F035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BB0D3A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97 162,2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9B4E2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B557B6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6C6BA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32 387,4</w:t>
            </w:r>
          </w:p>
        </w:tc>
        <w:tc>
          <w:tcPr>
            <w:tcW w:w="566" w:type="pct"/>
            <w:vMerge/>
            <w:vAlign w:val="center"/>
            <w:hideMark/>
          </w:tcPr>
          <w:p w14:paraId="7F6A867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4D07281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CB51D3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B2EFE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образования"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4EE27E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F7E24C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554FDC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898397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2E289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B5DE5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7206D2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144 584,0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2085A1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47 806,5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74236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48 417,5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37F0F7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48 360,0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C813B6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741DAF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BC5660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EE8DA7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612B81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72E0E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CE0902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E0720A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27C838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CDC7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A73F8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13D64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0F2D9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54D99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66" w:type="pct"/>
            <w:vMerge/>
            <w:vAlign w:val="center"/>
            <w:hideMark/>
          </w:tcPr>
          <w:p w14:paraId="792D3B1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83B900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47B2E1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4A4372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AE54E6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9FDA0D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20FD5E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48F016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D357C2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E88C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F5C5A2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4FAF8F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B2CCB3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07C76B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66" w:type="pct"/>
            <w:vMerge/>
            <w:vAlign w:val="center"/>
            <w:hideMark/>
          </w:tcPr>
          <w:p w14:paraId="11E20DE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46FEE7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01189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BD6CFB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AEBBC7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0A99C9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5E8F64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53D5FE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E94234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19AA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79F0BA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8EAA3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B258BD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A72EB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1 374,3</w:t>
            </w:r>
          </w:p>
        </w:tc>
        <w:tc>
          <w:tcPr>
            <w:tcW w:w="566" w:type="pct"/>
            <w:vMerge/>
            <w:vAlign w:val="center"/>
            <w:hideMark/>
          </w:tcPr>
          <w:p w14:paraId="75C868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6AB64E7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51C85E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6248CE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E185CE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7B08AA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0100200010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AC494E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291CA3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E06BD4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99045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04887D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906E9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F074A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7B6CDB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AFE595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Увеличение доли выпускников 11 классов, получивших аттестат о среднем общем образовании, до 98%</w:t>
            </w:r>
          </w:p>
        </w:tc>
      </w:tr>
      <w:tr w:rsidR="00B711CC" w:rsidRPr="00B711CC" w14:paraId="6123359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705C93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404FA8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E0AF13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4D3C5D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B595ED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E98052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90A28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BA91E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17B63B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AE454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9A51CD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E50791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66" w:type="pct"/>
            <w:vMerge/>
            <w:vAlign w:val="center"/>
            <w:hideMark/>
          </w:tcPr>
          <w:p w14:paraId="0041388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E746CD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1ECCB15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DBB13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церемонии награждения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выпускников школ медалями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CF3226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67B59C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0100200020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52F0BA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8DF6EB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EA678C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73790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FF5DCA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61DC7F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F8DCA9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DA0E31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0035792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Увеличение доли выпускников,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получивших аттестат о среднем общем образовании, до 98%</w:t>
            </w:r>
          </w:p>
        </w:tc>
      </w:tr>
      <w:tr w:rsidR="00B711CC" w:rsidRPr="00B711CC" w14:paraId="48284629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F42BE1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E8349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DA7A8D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40504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F968F0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DFAF0B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EF1742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019D3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8F8FE8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348653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B5EE9D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33D72E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66" w:type="pct"/>
            <w:vMerge/>
            <w:vAlign w:val="center"/>
            <w:hideMark/>
          </w:tcPr>
          <w:p w14:paraId="276E290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2018FE0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C18663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F16253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F9EBBF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79EF9A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0100200030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68DB872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8DCD21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A73830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77A8B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590859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62D20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E1FD89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C408D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9941B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B711CC" w:rsidRPr="00B711CC" w14:paraId="0A9FB506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288771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84CC5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44A68C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5A19B7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3D5040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E0899C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B0005D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EDCD5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FEA9B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4B40D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004B49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F907E7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566" w:type="pct"/>
            <w:vMerge/>
            <w:vAlign w:val="center"/>
            <w:hideMark/>
          </w:tcPr>
          <w:p w14:paraId="35514A6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399F3C1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BF060B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3FBB863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грантов общеобразовательным учреждениям Добрянского городского округа на реализацию проекта "Наставничество"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81943E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C4FA14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0100200040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5EC0EB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BFE6DF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ACD2F2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72B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E7E3DB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120B3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451B5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535C04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A1E331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Увеличение численности педагогов округа в возрасте до 35 лет в общей численности педагогического состава образовательных организаций до 18,3%</w:t>
            </w:r>
          </w:p>
        </w:tc>
      </w:tr>
      <w:tr w:rsidR="00B711CC" w:rsidRPr="00B711CC" w14:paraId="68B6178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6BD35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3CD02A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AEB8F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9DB72B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2CB8DA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606E11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0F709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2F7AA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881E76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967EB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87B30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2EB119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642,5</w:t>
            </w:r>
          </w:p>
        </w:tc>
        <w:tc>
          <w:tcPr>
            <w:tcW w:w="566" w:type="pct"/>
            <w:vMerge/>
            <w:vAlign w:val="center"/>
            <w:hideMark/>
          </w:tcPr>
          <w:p w14:paraId="0F0FB59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FD8770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CB0A2C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0F6284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18B209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16D800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0D5FB4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C152E4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39E2E9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6D4E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A65F4E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7104D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ED31AB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B4FFA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1C0786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Увеличение доли учителей (воспитателей) образовательных организаций, имеющих первую и высшую квалификационные категории, в общей численности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учителей (воспитателей) образовательных организаций до 56%</w:t>
            </w:r>
          </w:p>
        </w:tc>
      </w:tr>
      <w:tr w:rsidR="00B711CC" w:rsidRPr="00B711CC" w14:paraId="5783951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4DD903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2F39B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6AD51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215EA6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DCDFE3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29EF99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7DA261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4337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166764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52 599,5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2D36D4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1462E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17 756,0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D2352F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17 698,5</w:t>
            </w:r>
          </w:p>
        </w:tc>
        <w:tc>
          <w:tcPr>
            <w:tcW w:w="566" w:type="pct"/>
            <w:vMerge/>
            <w:vAlign w:val="center"/>
            <w:hideMark/>
          </w:tcPr>
          <w:p w14:paraId="1F31E0A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3078C7B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F7D66A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670" w:type="pct"/>
            <w:vMerge/>
            <w:vAlign w:val="center"/>
            <w:hideMark/>
          </w:tcPr>
          <w:p w14:paraId="78D8DE8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2DCC4A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A71AAD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55B2CD7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781619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98AA8E3" w14:textId="48A14308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83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7DF90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6C7AFA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AB5EC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A5FFDD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F99089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CECC9D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66A1C2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2491C4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9CF80C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88B2A3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DDFE32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11A91E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35C4E5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736506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B6402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FC6EFE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DED65E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76C111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D93B1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566" w:type="pct"/>
            <w:vMerge/>
            <w:vAlign w:val="center"/>
            <w:hideMark/>
          </w:tcPr>
          <w:p w14:paraId="43BD762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605A6E8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01E0DF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70" w:type="pct"/>
            <w:vMerge/>
            <w:vAlign w:val="center"/>
            <w:hideMark/>
          </w:tcPr>
          <w:p w14:paraId="0C0BA39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58EA06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BAD82F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A86F46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65A309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D06D44A" w14:textId="19792D08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0B070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4188F6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42145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B12669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F61EF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0C0EFCD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480F4F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82632E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C7B469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04F1E8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653634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813AD9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5F8A27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E7DE39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90ACF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F4921E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A76DE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92FBA2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704C9A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6" w:type="pct"/>
            <w:vMerge/>
            <w:vAlign w:val="center"/>
            <w:hideMark/>
          </w:tcPr>
          <w:p w14:paraId="2DB8C59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C60D004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2AE9ED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670" w:type="pct"/>
            <w:vMerge/>
            <w:vAlign w:val="center"/>
            <w:hideMark/>
          </w:tcPr>
          <w:p w14:paraId="200FC8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88A3F7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AB1A7F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5C84E87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1D64F1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5A4A129" w14:textId="0BC2C095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C7752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9E5B85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CDE191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F75F46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B2EEEB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288924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12D7463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74C77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B8B58A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BD5489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04F036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243516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B95B57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95FEED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5AF0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BC52C4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6418F7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29ADF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60469A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566" w:type="pct"/>
            <w:vMerge/>
            <w:vAlign w:val="center"/>
            <w:hideMark/>
          </w:tcPr>
          <w:p w14:paraId="6255DB9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8FBBE12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A74907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670" w:type="pct"/>
            <w:vMerge/>
            <w:vAlign w:val="center"/>
            <w:hideMark/>
          </w:tcPr>
          <w:p w14:paraId="54D7332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ED1ED5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68A960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DAA03D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E637BD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992F4CB" w14:textId="6F84807A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C5FC2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767D11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4CD468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217ADD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173FFA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A242DB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42D42F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D58EF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7E1989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4A7D2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541F18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DDAA6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8299F0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FC7847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31EC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A3C5D1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50 134,5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8CD2B7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209D08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16 931,1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D9159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16 874,4</w:t>
            </w:r>
          </w:p>
        </w:tc>
        <w:tc>
          <w:tcPr>
            <w:tcW w:w="566" w:type="pct"/>
            <w:vMerge/>
            <w:vAlign w:val="center"/>
            <w:hideMark/>
          </w:tcPr>
          <w:p w14:paraId="0C1246A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0875E1A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9AC8D9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70" w:type="pct"/>
            <w:vMerge/>
            <w:vAlign w:val="center"/>
            <w:hideMark/>
          </w:tcPr>
          <w:p w14:paraId="5BC0931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5D81D9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финансов и казначейства администрации Добрянского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EF41F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010022Н020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65D85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CE5AB8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1F1587E" w14:textId="77ABBCFB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DCB17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790037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AE17D5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7914FC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CAEB72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5B5F51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AF0231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C8BC83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98D0EC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37D64B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C8E0B6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057AA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E2D6E4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FEC112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5BC98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24F4C9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73ACD3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5DFC15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0A462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6" w:type="pct"/>
            <w:vMerge/>
            <w:vAlign w:val="center"/>
            <w:hideMark/>
          </w:tcPr>
          <w:p w14:paraId="193254E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1D52DF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1C8F63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5996E86" w14:textId="683A6D88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="00E073C4"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муниципальных общеобразовательных организаций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A31D16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43B94F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0100253030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6CCEB02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049B67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6EADB43" w14:textId="02867744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EA6AD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E126BB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3BC083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F9384D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95CE13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B37AC2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Увеличение доли выпускников 9 и 11 классов, поступивших в 10 классы организаций, реализующих образовательную деятельность по образовательным программам среднего общего образования, в профессиональные образовательные организации и образовательные организации высшего образования от общего количества выпускников 9 и 11 классов, до 95%</w:t>
            </w:r>
          </w:p>
        </w:tc>
      </w:tr>
      <w:tr w:rsidR="00B711CC" w:rsidRPr="00B711CC" w14:paraId="3D4048D0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A511A9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47720F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937E64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08A80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C7CCD4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ADB361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6B602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9CA0F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6D6DD8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87 861,6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BFE0CD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3F6A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F0F40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566" w:type="pct"/>
            <w:vMerge/>
            <w:vAlign w:val="center"/>
            <w:hideMark/>
          </w:tcPr>
          <w:p w14:paraId="61CE2A7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E850A57" w14:textId="77777777" w:rsidTr="00B711CC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037C9C4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B711CC" w:rsidRPr="00B711CC" w14:paraId="4833CE7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0EA99A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3316552B" w14:textId="20DF77F5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методического сопровождения и дополнительной занятости детей"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ACE2BD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2757D9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05F448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1D5880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7D02DD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7C5DC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626D47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B0C68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ABCC37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A4973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348BA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172E1B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A4A13A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6E1919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69B1B1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76BBF1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B8DA42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3DF2FC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437D2C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9F24E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0581D6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20 475,8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F6D67B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3319DA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179909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6 927,0</w:t>
            </w:r>
          </w:p>
        </w:tc>
        <w:tc>
          <w:tcPr>
            <w:tcW w:w="566" w:type="pct"/>
            <w:vMerge/>
            <w:vAlign w:val="center"/>
            <w:hideMark/>
          </w:tcPr>
          <w:p w14:paraId="0FABEB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CE11F8D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F4A7A7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748A4D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8E8606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75C77E9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0100313000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150A75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E30CD3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13E50B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AB3A4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9E6D9E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4200B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21E36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A1E34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3C44D9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образования, до 96%</w:t>
            </w:r>
          </w:p>
        </w:tc>
      </w:tr>
      <w:tr w:rsidR="00B711CC" w:rsidRPr="00B711CC" w14:paraId="45302C86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BB8633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BC3AE7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D09EC8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0C36E9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475E97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A89B7C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05BD5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2D011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F8F68F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16 120,5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BBB52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C47BA1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BA66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5 373,5</w:t>
            </w:r>
          </w:p>
        </w:tc>
        <w:tc>
          <w:tcPr>
            <w:tcW w:w="566" w:type="pct"/>
            <w:vMerge/>
            <w:vAlign w:val="center"/>
            <w:hideMark/>
          </w:tcPr>
          <w:p w14:paraId="3802241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CFA1A1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428EF2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16BF9F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661858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64C24C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0100300050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22B715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7A6B21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10A5C9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8F0DF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C1748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47D77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22B71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5D5ED4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AFD92E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образования, до 96%</w:t>
            </w:r>
          </w:p>
        </w:tc>
      </w:tr>
      <w:tr w:rsidR="00B711CC" w:rsidRPr="00B711CC" w14:paraId="6C11113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166B1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BAF52D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00AE1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C8600B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BD74F7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E115FC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B94285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DB68C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550048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4 355,3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CA34D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D58E8E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EAC6F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1 553,5</w:t>
            </w:r>
          </w:p>
        </w:tc>
        <w:tc>
          <w:tcPr>
            <w:tcW w:w="566" w:type="pct"/>
            <w:vMerge/>
            <w:vAlign w:val="center"/>
            <w:hideMark/>
          </w:tcPr>
          <w:p w14:paraId="57E0F4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EDE62DB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5CD693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449D90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оснащение оборудованием образовательных организаций"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017423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754616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B292DB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5CABC8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DAEC5E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EC1B3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0DD126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20 021,8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18CCB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5 212,0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E718E2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6623C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A77BEC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5A7D42F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5FAA35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B57DA3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45AC1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8CA99B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F76CD4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BADFC8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CBE8C7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1F392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9E1309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F10ED8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774955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E91901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515143E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1470864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283D6E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6D949B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28EDE8D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A0A7E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FA42B7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824B08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294F0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2A75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A6A7C6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232BC4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6CDEB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A992F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66" w:type="pct"/>
            <w:vMerge/>
            <w:vAlign w:val="center"/>
            <w:hideMark/>
          </w:tcPr>
          <w:p w14:paraId="0A77CED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C8B614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D19A89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C656E8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A4E7B2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FD6500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0100400060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BC9928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F0751C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6D85DF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99821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D201FB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46CAEC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878F9B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410553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1A11A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B711CC" w:rsidRPr="00B711CC" w14:paraId="3F41E0E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8D5750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FF67AD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DD324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82E39F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073C06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3A833C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6D78B1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00193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CD3683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17 634,3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551995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3 837,0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67366A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5 797,3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43617A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566" w:type="pct"/>
            <w:vMerge/>
            <w:vAlign w:val="center"/>
            <w:hideMark/>
          </w:tcPr>
          <w:p w14:paraId="3A35DBE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0F468B3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D5E737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0B80326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стандарта дошкольного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01AB6F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BEB07B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010042Н420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294B2D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D9E43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B847B27" w14:textId="62F895E4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75648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69E755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807A24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EA6A2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6F7D9A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D66847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</w:p>
        </w:tc>
      </w:tr>
      <w:tr w:rsidR="00B711CC" w:rsidRPr="00B711CC" w14:paraId="6A2BF9E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B96231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9CD144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B8FC9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62C483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BDAC9E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37FB88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5D6A2D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326B8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754B85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30E3A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69B70A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43D02A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139C31B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5A2D95D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13E80C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5DE38F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93D29B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A750E5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7B5064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6BF0C1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A3EB11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1C425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12A5AB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E757D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22459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BD3EA2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BCA942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73BC353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89CD62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3D0890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225E3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28CFF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63E094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4F5DBC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6FD40F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B28EF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922580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598631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21DE23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F7D0E2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66" w:type="pct"/>
            <w:vMerge/>
            <w:vAlign w:val="center"/>
            <w:hideMark/>
          </w:tcPr>
          <w:p w14:paraId="6B95FA9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E70749A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1651A9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55D4712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206A3E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3CB164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0100500070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123A76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FDAA21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1892D9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A7BC7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BF7338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58057E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B9D41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09A07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F5EAF1A" w14:textId="1CBAD1F9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80%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10. Увеличение доли обучающихся, охваченных </w:t>
            </w:r>
            <w:r w:rsidR="00883198"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деятельностью центров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"Точка роста", детских технопарков «Кванториум», "ДНК", центров цифрового образования "IT-куб</w:t>
            </w:r>
            <w:r w:rsidR="00883198"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до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30%</w:t>
            </w:r>
          </w:p>
        </w:tc>
      </w:tr>
      <w:tr w:rsidR="00B711CC" w:rsidRPr="00B711CC" w14:paraId="6D61615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A9A776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2E2FD3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919D2B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EB4BFB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72BD38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75DD7A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626E8B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B9FC5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3132D6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C1123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E5C83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83EAAD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566" w:type="pct"/>
            <w:vMerge/>
            <w:vAlign w:val="center"/>
            <w:hideMark/>
          </w:tcPr>
          <w:p w14:paraId="572CD12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E3E9A02" w14:textId="77777777" w:rsidTr="00B711CC">
        <w:trPr>
          <w:trHeight w:val="30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316D6EC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B711CC" w:rsidRPr="00B711CC" w14:paraId="28665640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2A72BE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724BE2F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44F9B8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D0DD2D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65DA12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0FC070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FA5368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29EDB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390DFB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52 489,4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E35AB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16 531,3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81B827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2689EE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18 599,5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2A4693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44F9005F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03D84F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32292A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0600C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FC66E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A84392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D9076F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A2FA7C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439DC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A0804F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B3BB1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1C699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0CC8B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66" w:type="pct"/>
            <w:vMerge/>
            <w:vAlign w:val="center"/>
            <w:hideMark/>
          </w:tcPr>
          <w:p w14:paraId="587CC0B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914FCE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F900D9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465FB7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76E26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7C153A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EB2560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A9A2A4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75484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7DC0C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359BCA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A83B0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4EC360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E1B2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66" w:type="pct"/>
            <w:vMerge/>
            <w:vAlign w:val="center"/>
            <w:hideMark/>
          </w:tcPr>
          <w:p w14:paraId="517FA62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8B907FD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5371D9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E77AE8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06F6E7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DEDF45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0100613000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CC3AC6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9B9125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C00FB7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BC64C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27381C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45CA5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71384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68934F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8C0D50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B711CC" w:rsidRPr="00B711CC" w14:paraId="7492A1E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645107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294B5C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E0FC29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DA895A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783465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22D994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A5DD1F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4CF22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EF1D06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DD5C9C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AAAB8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82A0B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1 502,7</w:t>
            </w:r>
          </w:p>
        </w:tc>
        <w:tc>
          <w:tcPr>
            <w:tcW w:w="566" w:type="pct"/>
            <w:vMerge/>
            <w:vAlign w:val="center"/>
            <w:hideMark/>
          </w:tcPr>
          <w:p w14:paraId="795CB4D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BE04168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85AEAD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12EF5F8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430340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847D72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716471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CB124B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2DACD56" w14:textId="56386AEC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04271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D5CAF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B8CA3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733097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FEA70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35B2D2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Увеличение доли детей, охваченных различными формами оздоровления и отдыха, от числа детей в возрасте от 7 до 17 лет включительно до 84%</w:t>
            </w:r>
          </w:p>
        </w:tc>
      </w:tr>
      <w:tr w:rsidR="00B711CC" w:rsidRPr="00B711CC" w14:paraId="2D3F4CD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F81C3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02E726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20E7EF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CD3350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DA7581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7EC3E7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D24D3E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18CF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FE905D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47 981,3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90FDF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15 028,6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6BBAE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15 855,9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1ED34E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17 096,8</w:t>
            </w:r>
          </w:p>
        </w:tc>
        <w:tc>
          <w:tcPr>
            <w:tcW w:w="566" w:type="pct"/>
            <w:vMerge/>
            <w:vAlign w:val="center"/>
            <w:hideMark/>
          </w:tcPr>
          <w:p w14:paraId="1412B89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65E8CE0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7F7B53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70" w:type="pct"/>
            <w:vMerge/>
            <w:vAlign w:val="center"/>
            <w:hideMark/>
          </w:tcPr>
          <w:p w14:paraId="44F0585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37A25D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00AD5A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AB3C0D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CF8AE2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B3EBA2E" w14:textId="130A8651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795BA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ABD6FC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751C6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CF545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E44F6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CC7C1B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C6F8BD9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AAA642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5D0943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DD1F0D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A116E8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9CA05A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6471AD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0DCFDF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0813E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5F01B4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7521EA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6F7DB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365EB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566" w:type="pct"/>
            <w:vMerge/>
            <w:vAlign w:val="center"/>
            <w:hideMark/>
          </w:tcPr>
          <w:p w14:paraId="64DBB9B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4B94108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3A336A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70" w:type="pct"/>
            <w:vMerge/>
            <w:vAlign w:val="center"/>
            <w:hideMark/>
          </w:tcPr>
          <w:p w14:paraId="1773BB3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DE323E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DE5EB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896D3B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D45813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E7B752D" w14:textId="58497FA3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4AF06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2F65E7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092BF0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8B7D6B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FB5C24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4AEBD7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0CEC375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913AD9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2F7A06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0D220E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8453DA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35BBDB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189C6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D8C052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ADF0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F02519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01765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E26731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41A717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6" w:type="pct"/>
            <w:vMerge/>
            <w:vAlign w:val="center"/>
            <w:hideMark/>
          </w:tcPr>
          <w:p w14:paraId="257F543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C2F01D8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7B611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70" w:type="pct"/>
            <w:vMerge/>
            <w:vAlign w:val="center"/>
            <w:hideMark/>
          </w:tcPr>
          <w:p w14:paraId="7EBE67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9A1AB5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7A382B7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57E8207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F31491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0CEFB56" w14:textId="5653647B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CDA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9A351D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86CC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353502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E36F3C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3D32428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9A9626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2C273D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8E317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2B1B00D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5FB6AE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94202D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4744F9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D1E515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2419C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6FDBB9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12509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AAAEA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AFB624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6" w:type="pct"/>
            <w:vMerge/>
            <w:vAlign w:val="center"/>
            <w:hideMark/>
          </w:tcPr>
          <w:p w14:paraId="68F5682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76A46D8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8B88F0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70" w:type="pct"/>
            <w:vMerge/>
            <w:vAlign w:val="center"/>
            <w:hideMark/>
          </w:tcPr>
          <w:p w14:paraId="3B536A7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A2915A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53166A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33B5E6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7A21B9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1095F32" w14:textId="0F224ADB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95FE3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8468A5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22 090,2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35862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167F3D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C01392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5FA1E5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4711A026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840565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73C56F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0E2018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96154C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5FF6EF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35053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BA9765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DCB0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AD2F38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22 090,2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9D58B6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512CC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52FC9F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566" w:type="pct"/>
            <w:vMerge/>
            <w:vAlign w:val="center"/>
            <w:hideMark/>
          </w:tcPr>
          <w:p w14:paraId="7565379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7A4F16B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902E98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70" w:type="pct"/>
            <w:vMerge/>
            <w:vAlign w:val="center"/>
            <w:hideMark/>
          </w:tcPr>
          <w:p w14:paraId="2FC5A9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D00813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76A596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010062С140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5F3806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991E90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DA583D0" w14:textId="237F25FB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BEAD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B0C8FD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F7E00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5A8F8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040710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33DDF1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C28ECE5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7EA8AB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BD87DD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B5FDE5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7E1B5E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90B3F6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F8BEA8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5B1C33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9B045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901BAF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26F901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CF8B3A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7 942,3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C11D97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9 183,2</w:t>
            </w:r>
          </w:p>
        </w:tc>
        <w:tc>
          <w:tcPr>
            <w:tcW w:w="566" w:type="pct"/>
            <w:vMerge/>
            <w:vAlign w:val="center"/>
            <w:hideMark/>
          </w:tcPr>
          <w:p w14:paraId="63CFF64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B9AE0C8" w14:textId="77777777" w:rsidTr="00B711CC">
        <w:trPr>
          <w:trHeight w:val="660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14:paraId="1E0547A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</w:t>
            </w:r>
          </w:p>
        </w:tc>
      </w:tr>
      <w:tr w:rsidR="00B711CC" w:rsidRPr="00B711CC" w14:paraId="631F49E4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FAE2FF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872483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доступности и качества образовательного процесса в образовательных организациях"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348E54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E91C92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0100700000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9E006D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27315C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416A16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3A8B7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80429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AC3C8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9AD2C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295A81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325E34E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48D7A94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8FFAE8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3D7D97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ABEBBA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232584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07073E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51A566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E719B3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5B69D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8F90C9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63E2E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03A12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A4A906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66" w:type="pct"/>
            <w:vMerge/>
            <w:vAlign w:val="center"/>
            <w:hideMark/>
          </w:tcPr>
          <w:p w14:paraId="6993094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AF9F71B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1486FE3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19D4290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B36B43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7CAD083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0100713000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521C6A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BCFD5C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F4A1C7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22EB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537BCB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505B5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CD6AA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A8081B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EFD6AE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Сохранение доли муниципальных образовательных организаций, имеющих лицензию на образовательную деятельность, на уровне 100%</w:t>
            </w:r>
          </w:p>
        </w:tc>
      </w:tr>
      <w:tr w:rsidR="00B711CC" w:rsidRPr="00B711CC" w14:paraId="49DE723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2B422D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3A8D54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F0A58A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AF825C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CCD5FB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DDDBA0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E36BAD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AAC68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69050D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446 073,6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7A095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C63D0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1F31B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148 691,2</w:t>
            </w:r>
          </w:p>
        </w:tc>
        <w:tc>
          <w:tcPr>
            <w:tcW w:w="566" w:type="pct"/>
            <w:vMerge/>
            <w:vAlign w:val="center"/>
            <w:hideMark/>
          </w:tcPr>
          <w:p w14:paraId="68C432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3B6B570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540AC5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0D2061EC" w14:textId="190344C8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бесплатного питания учащихся в общеобразовательных организациях, компенсация части родительской платы в дошкольных </w:t>
            </w:r>
            <w:r w:rsidR="00883198"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организациях"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E5945D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1D84DC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522C7F8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024DBF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116A97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6FBF7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3117A5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210 911,7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905A3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69 499,1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CE0CEC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69 482,7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6AC03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71 929,9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55C5F0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0B08D44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35B430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F267BD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269D85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19CAD3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2AEC2C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572CFA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0958D4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941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F3C004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E346A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919A07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72D2F5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66" w:type="pct"/>
            <w:vMerge/>
            <w:vAlign w:val="center"/>
            <w:hideMark/>
          </w:tcPr>
          <w:p w14:paraId="1B7D4AF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4A242BF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02826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F55CF7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A054C8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85654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30104C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922513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4937B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F2348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ED4E5A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138 385,6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7BC2C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45 695,6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EEC87E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45 499,8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26EF4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47 190,2</w:t>
            </w:r>
          </w:p>
        </w:tc>
        <w:tc>
          <w:tcPr>
            <w:tcW w:w="566" w:type="pct"/>
            <w:vMerge/>
            <w:vAlign w:val="center"/>
            <w:hideMark/>
          </w:tcPr>
          <w:p w14:paraId="07B562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62FC443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169BDC1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7456C2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F72B2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E452DC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01008L3040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2EFA863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BFC7C3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0356030" w14:textId="4E386DA2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B7B2A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44CB6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138 043,8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DF80BA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46 641,3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FE459D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45 625,1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6585CB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45 777,4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46E97B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B711CC" w:rsidRPr="00B711CC" w14:paraId="6BE283D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188E7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C22229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495383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B9B905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9FE4AE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B8D4B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69DF7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2EE12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2802B2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72 526,1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A03269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23 803,5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EB6E8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23 982,9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3FB35E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24 739,7</w:t>
            </w:r>
          </w:p>
        </w:tc>
        <w:tc>
          <w:tcPr>
            <w:tcW w:w="566" w:type="pct"/>
            <w:vMerge/>
            <w:vAlign w:val="center"/>
            <w:hideMark/>
          </w:tcPr>
          <w:p w14:paraId="7750A54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34E434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BE9B0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F1557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0C96CD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A612A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C9FCC3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96A65E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1D2FAA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E6759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53A000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65 517,7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D2065D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EEF934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21 642,2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F261E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21 037,7</w:t>
            </w:r>
          </w:p>
        </w:tc>
        <w:tc>
          <w:tcPr>
            <w:tcW w:w="566" w:type="pct"/>
            <w:vMerge/>
            <w:vAlign w:val="center"/>
            <w:hideMark/>
          </w:tcPr>
          <w:p w14:paraId="18A3144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1D2F84A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B8F5B0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45A3015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97747A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0041AA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88005E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26EA14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92E8D3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EB6D8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7D7023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E7C7D6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E2A8B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A6F29F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5AA502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</w:tr>
      <w:tr w:rsidR="00B711CC" w:rsidRPr="00B711CC" w14:paraId="300D898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9092DF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035982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319E8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3F2BD2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24F447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601F4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406FA5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BF459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6DE2F4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72 867,9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4C8030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22 857,8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8289CF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23 857,6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19F0B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26 152,5</w:t>
            </w:r>
          </w:p>
        </w:tc>
        <w:tc>
          <w:tcPr>
            <w:tcW w:w="566" w:type="pct"/>
            <w:vMerge/>
            <w:vAlign w:val="center"/>
            <w:hideMark/>
          </w:tcPr>
          <w:p w14:paraId="23347F8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7E5A8D0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09635F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70" w:type="pct"/>
            <w:vMerge/>
            <w:vAlign w:val="center"/>
            <w:hideMark/>
          </w:tcPr>
          <w:p w14:paraId="0DA231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24B5E7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074249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2ABBBF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158000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804DC16" w14:textId="60418BF0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7C1AE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D20BA6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B9BDAE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528E54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F15C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026C82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7A424B5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99F975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A7E2A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51FB3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C31396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772E70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E14BDA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CBC4A3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771F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AF9B81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71 988,9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17939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22 564,8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859D6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23 564,6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F5912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25 859,5</w:t>
            </w:r>
          </w:p>
        </w:tc>
        <w:tc>
          <w:tcPr>
            <w:tcW w:w="566" w:type="pct"/>
            <w:vMerge/>
            <w:vAlign w:val="center"/>
            <w:hideMark/>
          </w:tcPr>
          <w:p w14:paraId="0FCE593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5ACD314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6A3E79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70" w:type="pct"/>
            <w:vMerge/>
            <w:vAlign w:val="center"/>
            <w:hideMark/>
          </w:tcPr>
          <w:p w14:paraId="48F815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06FB8F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916B3F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702F06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6CDB24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C3D283C" w14:textId="67A2A5AD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3D427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62C943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3E136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7A92E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062B53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35CF884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1C4DD6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D2D11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507344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06D4A6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BCC3D9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56494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EB394E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A64659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994AF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BDE812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20EC78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0995F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6CB956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566" w:type="pct"/>
            <w:vMerge/>
            <w:vAlign w:val="center"/>
            <w:hideMark/>
          </w:tcPr>
          <w:p w14:paraId="0B2F54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F61919A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5026E8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670" w:type="pct"/>
            <w:vMerge/>
            <w:vAlign w:val="center"/>
            <w:hideMark/>
          </w:tcPr>
          <w:p w14:paraId="495674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4B795B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1F78A1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010082Н020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0794A7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82A238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3A1AE5D" w14:textId="4C4FF11E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AAE1C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2A5624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DB7C10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74891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BC6B5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496E814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BA5A92F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958344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7DA397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9DB9AD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8D019D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27B86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7F017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0D3DA9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766CE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C3C0E9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709884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3BD230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F6396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66" w:type="pct"/>
            <w:vMerge/>
            <w:vAlign w:val="center"/>
            <w:hideMark/>
          </w:tcPr>
          <w:p w14:paraId="26043D0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6474053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68EBAF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CA682F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образовательного процесса для обучающихся, проживающих в сельских, труднодуступных и удаленных населенных пунктах"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AFA5E2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1F9ADC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28D191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A095B9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40C1CA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325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6BB373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73 130,4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74259B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22 965,6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78199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23 260,0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57BAA5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26 904,8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3442098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602F84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395682E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6E9DE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51309A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665EAF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EF4C2E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EE5ED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5CED8C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5F30B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DDCE84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EC8835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D63E21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BE4A63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66" w:type="pct"/>
            <w:vMerge/>
            <w:vAlign w:val="center"/>
            <w:hideMark/>
          </w:tcPr>
          <w:p w14:paraId="5DC9E92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6D7AA7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AFAA31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C4F7C2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705AB2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291976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66A689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B3B53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E06FAF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D739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7D1B71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48 335,4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36A58C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1DCBF8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14 995,0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CAD8EB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18 639,8</w:t>
            </w:r>
          </w:p>
        </w:tc>
        <w:tc>
          <w:tcPr>
            <w:tcW w:w="566" w:type="pct"/>
            <w:vMerge/>
            <w:vAlign w:val="center"/>
            <w:hideMark/>
          </w:tcPr>
          <w:p w14:paraId="6947E98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F4B666E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1AB3E58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0278883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организациях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50F681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B195C0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0100900090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6ED4ED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8F5779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BF91F7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8E2A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45B48D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06B18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D57C4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D0CBF5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D14BAB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B711CC" w:rsidRPr="00B711CC" w14:paraId="308CBDA7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70FE1A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74FAF0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6F9D18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8E897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E1AA9B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FEE645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78B5B2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34DE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F4128D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1C84CB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13 443,8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330FE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13 738,2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DF6A09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17 383,0</w:t>
            </w:r>
          </w:p>
        </w:tc>
        <w:tc>
          <w:tcPr>
            <w:tcW w:w="566" w:type="pct"/>
            <w:vMerge/>
            <w:vAlign w:val="center"/>
            <w:hideMark/>
          </w:tcPr>
          <w:p w14:paraId="797C4C6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0C10484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254713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70" w:type="pct"/>
            <w:vMerge/>
            <w:vAlign w:val="center"/>
            <w:hideMark/>
          </w:tcPr>
          <w:p w14:paraId="1C88BBC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499795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ED1F97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0100900090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685B4C4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18A0CA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814E3E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77B7F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FDA18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CF1DF1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609712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474E5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19569F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4E2B700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93D1C9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87FAD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52EA6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9C1772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E06442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172671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CE990A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604D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482B15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44 118,3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4D9D75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13 294,9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2790D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13 589,3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ECF06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17 234,1</w:t>
            </w:r>
          </w:p>
        </w:tc>
        <w:tc>
          <w:tcPr>
            <w:tcW w:w="566" w:type="pct"/>
            <w:vMerge/>
            <w:vAlign w:val="center"/>
            <w:hideMark/>
          </w:tcPr>
          <w:p w14:paraId="18CEBCB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64738FDD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375C6C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70" w:type="pct"/>
            <w:vMerge/>
            <w:vAlign w:val="center"/>
            <w:hideMark/>
          </w:tcPr>
          <w:p w14:paraId="0857EBB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FFB2F3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524E1E8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0100900090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9F4FB1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650FB4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BC53B9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8C1DC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25EE97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E2EEDA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95F990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7D688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D208AA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79FCFE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B201B8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19CBF03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FCB4B6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5190EC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D57D5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DA6BC8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09AB0B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7A9FD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052035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558234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14F78B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D62D3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566" w:type="pct"/>
            <w:vMerge/>
            <w:vAlign w:val="center"/>
            <w:hideMark/>
          </w:tcPr>
          <w:p w14:paraId="6390732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67564E9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08F6C39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7DBAD51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38EC88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7AE9FD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0100900100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213767B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5933C3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C7AB8B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0C318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DD59A2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686CEE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CBCA23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BA76B6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0CFFEF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B711CC" w:rsidRPr="00B711CC" w14:paraId="2A82929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0517B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0FA551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E9EB9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A4810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9A5495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4FC38E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B1F876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99541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C3B53D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0B368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374BA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5D4BF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1 256,8</w:t>
            </w:r>
          </w:p>
        </w:tc>
        <w:tc>
          <w:tcPr>
            <w:tcW w:w="566" w:type="pct"/>
            <w:vMerge/>
            <w:vAlign w:val="center"/>
            <w:hideMark/>
          </w:tcPr>
          <w:p w14:paraId="1238DC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83EA81D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E3EFCB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70" w:type="pct"/>
            <w:vMerge/>
            <w:vAlign w:val="center"/>
            <w:hideMark/>
          </w:tcPr>
          <w:p w14:paraId="0172632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1C52CB7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F54C7E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0100900100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62860AA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B53720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B4B933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5CC40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AD85EA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B5576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E6358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A0373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B73E5A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BA1CFF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B326C1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86AA3A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E14EE9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4122E8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88F23A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657326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A36765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677D7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B441F9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7D69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9341F9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FABE3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1 252,7</w:t>
            </w:r>
          </w:p>
        </w:tc>
        <w:tc>
          <w:tcPr>
            <w:tcW w:w="566" w:type="pct"/>
            <w:vMerge/>
            <w:vAlign w:val="center"/>
            <w:hideMark/>
          </w:tcPr>
          <w:p w14:paraId="00467FC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C23653B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9B4E1B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70" w:type="pct"/>
            <w:vMerge/>
            <w:vAlign w:val="center"/>
            <w:hideMark/>
          </w:tcPr>
          <w:p w14:paraId="2B43482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F33B59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DCA4F4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0100900100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254F2B9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947CB1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2473B0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AF3C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AAA276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B57BF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960983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9BCD47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C2ED80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EBAFA8D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0A7EDE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055E2AB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899244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612101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E00EB3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44CB6A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E0839C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9D4CC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9964A3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A9684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F137A1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40751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6" w:type="pct"/>
            <w:vMerge/>
            <w:vAlign w:val="center"/>
            <w:hideMark/>
          </w:tcPr>
          <w:p w14:paraId="68D8C2E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DB1866F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62AE81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771761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570FB0F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004D644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010092С170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249C9CB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734B9D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CC9A6F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1777B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257CE5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D92CD6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DF737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5D5D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EE40C1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</w:tr>
      <w:tr w:rsidR="00B711CC" w:rsidRPr="00B711CC" w14:paraId="38A5B0FC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3A2D582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89C3A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C90062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C48E4F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38435D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213353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5EDD91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AE64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D5478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24 795,0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CA262D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CB697D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3ECD73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8 265,0</w:t>
            </w:r>
          </w:p>
        </w:tc>
        <w:tc>
          <w:tcPr>
            <w:tcW w:w="566" w:type="pct"/>
            <w:vMerge/>
            <w:vAlign w:val="center"/>
            <w:hideMark/>
          </w:tcPr>
          <w:p w14:paraId="500A5D2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A7A8C7C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4AE62A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70" w:type="pct"/>
            <w:vMerge/>
            <w:vAlign w:val="center"/>
            <w:hideMark/>
          </w:tcPr>
          <w:p w14:paraId="610B04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7EA70B8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971818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010092С170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283B37F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189EE9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39326CB" w14:textId="45846F4F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4410F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14B97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07317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01D66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8C344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DBD192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3C0A9769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5CBBB6F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86694D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268F30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F3FC4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1C5EAF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77E1F0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C783AB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72225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49BB6C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4C098A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BAC679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0F563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566" w:type="pct"/>
            <w:vMerge/>
            <w:vAlign w:val="center"/>
            <w:hideMark/>
          </w:tcPr>
          <w:p w14:paraId="676C2D1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33D6CB2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6DE0E97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70" w:type="pct"/>
            <w:vMerge/>
            <w:vAlign w:val="center"/>
            <w:hideMark/>
          </w:tcPr>
          <w:p w14:paraId="68691BB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2359698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832AB1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010092С170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0ADAC15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538DA1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1144F64" w14:textId="4B7D7BE8" w:rsidR="00B711CC" w:rsidRPr="00B711CC" w:rsidRDefault="00883198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36ACC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38E6B0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16 946,4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9AC387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EFE258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F2D47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CCE591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D3754CC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D6B9B6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43574A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01C98B1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BE958A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1F9F49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D28A54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B5AB5D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EF9C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DC05CA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16 946,4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7AFFA1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51B1D4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C3DFD9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5 648,8</w:t>
            </w:r>
          </w:p>
        </w:tc>
        <w:tc>
          <w:tcPr>
            <w:tcW w:w="566" w:type="pct"/>
            <w:vMerge/>
            <w:vAlign w:val="center"/>
            <w:hideMark/>
          </w:tcPr>
          <w:p w14:paraId="11372FF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458EE8F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73A300A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F5DE72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078C79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148E97B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D5F44D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AE09B2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5AD506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F3725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A75458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FF9E79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135B27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0C64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A7F652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7AF36FF2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2F575F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DBA871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37DCCCA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CA3F9F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9B91D4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DA5B8A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9AA133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B1284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3634E8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3C8CBB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93B0AA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15BD0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4202A7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689F407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81A8B5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D60E00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87F285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713B432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98B4BA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FE28A3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0DCD7B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4D483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6D989F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28E332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44D2D0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FC4E81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0008B1F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78B3D0E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407A08B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4AD9EB7" w14:textId="25DA0030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  <w:r w:rsidR="000C133A">
              <w:rPr>
                <w:rStyle w:val="afc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3AE8F7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AC2E94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010102Н070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27B235A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39080B2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4A0169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8F15F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84980C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6DE8EB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68 417,4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316BBD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30A5A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5750F31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Сохранение доли детей в возрасте от 1,5 до 3 лет, которым предоставлена услуга дошкольного образования от количества заявившихся, до 100%</w:t>
            </w:r>
          </w:p>
        </w:tc>
      </w:tr>
      <w:tr w:rsidR="00B711CC" w:rsidRPr="00B711CC" w14:paraId="7DED149F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1E23FA1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653DE3C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2571AB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2A8896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6AC846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360DF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672C64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2D22A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A97357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5EBC79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153C04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03F28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537D031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7C5AE8B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B3D149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14BD6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56BDB7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5CF661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08C052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6AE749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1DBCCE3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40789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75EF37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0AE5E6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22 898,4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C68E7F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F97D84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0F51FF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5ED1FB2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5C6010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82277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D4ABE8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477BDEF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624893B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2B199C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265AF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1907F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55304D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CED86D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F5AE50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D11589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1D7FABC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2B8CC40A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E647FD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0888A8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41385FC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ABE0D7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581730F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0CBF8B4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B4E87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AC0EE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9C52B2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26 425,7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166D7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371207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20 142,4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5F7CA6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66" w:type="pct"/>
            <w:vMerge/>
            <w:vAlign w:val="center"/>
            <w:hideMark/>
          </w:tcPr>
          <w:p w14:paraId="7E1CA2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86A177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24984C8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6977BBA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3165FA9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04A2F7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0101100150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290AE6AE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24078E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E6A1726" w14:textId="102DA6AF" w:rsidR="00B711CC" w:rsidRPr="00B711CC" w:rsidRDefault="00540799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06C44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9A3B4F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12 788,2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62999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9ABD7C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080D80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29ECB1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B711CC" w:rsidRPr="00B711CC" w14:paraId="5F92DED8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4297A61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ECAAE0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082D97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6DDC0C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438CF7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27B947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9FAA43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79D0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F3823E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12 788,2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7C58B1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076B49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4FB1C2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4 504,8</w:t>
            </w:r>
          </w:p>
        </w:tc>
        <w:tc>
          <w:tcPr>
            <w:tcW w:w="566" w:type="pct"/>
            <w:vMerge/>
            <w:vAlign w:val="center"/>
            <w:hideMark/>
          </w:tcPr>
          <w:p w14:paraId="00733A5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59E7C16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207BF53D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E7BF243" w14:textId="6FA812F8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 w:rsidR="000C133A">
              <w:rPr>
                <w:rStyle w:val="afc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409CAA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06B07277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01011SP040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3A23F42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05978F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38299E9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5754F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564437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27D89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51C0EDC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72C6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E412E6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Увеличение доли муниципальных образовательных организаций, отнесенных к категории приоритетных объектов социальной инфраструктуры, в которых создана универсальная безбарьерная среда для инклюзивного образования детей-инвалидов, в общем количестве образовательных организаций в городском округе, до 40%</w:t>
            </w:r>
          </w:p>
        </w:tc>
      </w:tr>
      <w:tr w:rsidR="00B711CC" w:rsidRPr="00B711CC" w14:paraId="5DF0EEF7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28D227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B70013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2EAF6C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B0A9E7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416F0BF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C2A9B1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698C4FB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C011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121C9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831D76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B20F3F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A3B370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0CBA30D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7A00B9FA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59AF0666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A956966" w14:textId="01808569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организациях, расположенных в </w:t>
            </w:r>
            <w:r w:rsidR="00883198"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местности и малых городах, условий для занятий физической культурой и спортом"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40F9289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19663E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010Е200000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71842A6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65A9650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0C457B91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A230E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93C10B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596EA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F5FAE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A6E5F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41D095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684789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08EBAE0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5480D0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CCBF65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7B790F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84181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4003BA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7FCE8B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7831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1A0971F5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76582F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C5D479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18F74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278077E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3ABF933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313F28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4F4B260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10FF2C0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284976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255D1B3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FE9A55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17888F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2C4D5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69EFC7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48F5A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604713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3772BC2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4DD68BD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2FC8A699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627EA1B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2F0E6D9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78F8669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38243F5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619EB43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075548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03802F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D60A8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15FC11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17FE24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18A3D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6527E9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75CF60F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14AAC78C" w14:textId="77777777" w:rsidTr="000C133A">
        <w:trPr>
          <w:trHeight w:val="765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14:paraId="3FAC099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5F87657" w14:textId="06C8ABEA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0C133A">
              <w:rPr>
                <w:rStyle w:val="afc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67E0BFF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343086AC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010Е250970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44AB5392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7BB1CEC5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F564763" w14:textId="77777777" w:rsidR="00B711CC" w:rsidRPr="00B711CC" w:rsidRDefault="00B711CC" w:rsidP="002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FD897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890693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22010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E8F634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2 239,4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DDFA76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825FEB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Увеличение количества устроенных спортивных площадок на территории образовательных организаций в Добрянском городском округе до 22 шт.</w:t>
            </w:r>
          </w:p>
        </w:tc>
      </w:tr>
      <w:tr w:rsidR="00B711CC" w:rsidRPr="00B711CC" w14:paraId="45176B4E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76B5F76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3DE06D4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65CD0E3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06A8250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7BA0985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5B00260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FC0BDA1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379B7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4053CCC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9E35F4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CC26F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2 092,6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FF1C8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61F66898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5460EFB1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E7C723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737855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280466F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4BEF5A2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3862D2D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423ED32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7F3650B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C41B8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3B61052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40F6D5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EE2FAC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4BB590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3253D00A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4FFB1A35" w14:textId="77777777" w:rsidTr="000C133A">
        <w:trPr>
          <w:trHeight w:val="765"/>
        </w:trPr>
        <w:tc>
          <w:tcPr>
            <w:tcW w:w="205" w:type="pct"/>
            <w:vMerge/>
            <w:vAlign w:val="center"/>
            <w:hideMark/>
          </w:tcPr>
          <w:p w14:paraId="25D82DE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14:paraId="716586C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14:paraId="5EF153C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B286D2F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14:paraId="08F18722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34D9DBE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14:paraId="24D6CBE5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58DDE4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F455B87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D532DE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80D4CF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14F2D5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pct"/>
            <w:vMerge/>
            <w:vAlign w:val="center"/>
            <w:hideMark/>
          </w:tcPr>
          <w:p w14:paraId="258A917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1CC" w:rsidRPr="00B711CC" w14:paraId="6AE45944" w14:textId="77777777" w:rsidTr="000C133A">
        <w:trPr>
          <w:trHeight w:val="1275"/>
        </w:trPr>
        <w:tc>
          <w:tcPr>
            <w:tcW w:w="2722" w:type="pct"/>
            <w:gridSpan w:val="7"/>
            <w:shd w:val="clear" w:color="auto" w:fill="auto"/>
            <w:vAlign w:val="center"/>
            <w:hideMark/>
          </w:tcPr>
          <w:p w14:paraId="6F2941E3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D18B1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DD2B5D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2 784 255,8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797F9C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956 417,4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5682B0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918 548,6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DE07EA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909 289,8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867383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09EAD682" w14:textId="77777777" w:rsidTr="000C133A">
        <w:trPr>
          <w:trHeight w:val="765"/>
        </w:trPr>
        <w:tc>
          <w:tcPr>
            <w:tcW w:w="2722" w:type="pct"/>
            <w:gridSpan w:val="7"/>
            <w:shd w:val="clear" w:color="auto" w:fill="auto"/>
            <w:vAlign w:val="center"/>
            <w:hideMark/>
          </w:tcPr>
          <w:p w14:paraId="554163E3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A1E1BE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55E0D8B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162 480,3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3A46F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53 090,7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AC157C8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55 362,7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6517CA1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54 026,9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F2718B0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6D315AC1" w14:textId="77777777" w:rsidTr="000C133A">
        <w:trPr>
          <w:trHeight w:val="765"/>
        </w:trPr>
        <w:tc>
          <w:tcPr>
            <w:tcW w:w="2722" w:type="pct"/>
            <w:gridSpan w:val="7"/>
            <w:shd w:val="clear" w:color="auto" w:fill="auto"/>
            <w:vAlign w:val="center"/>
            <w:hideMark/>
          </w:tcPr>
          <w:p w14:paraId="1133E00B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26BCE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F2A62AD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1 931 695,8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81888DA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668 580,0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46CC5F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630 682,3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1AFC5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632 433,5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14EF59D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711CC" w:rsidRPr="00B711CC" w14:paraId="5B5E5B16" w14:textId="77777777" w:rsidTr="000C133A">
        <w:trPr>
          <w:trHeight w:val="765"/>
        </w:trPr>
        <w:tc>
          <w:tcPr>
            <w:tcW w:w="2722" w:type="pct"/>
            <w:gridSpan w:val="7"/>
            <w:shd w:val="clear" w:color="auto" w:fill="auto"/>
            <w:vAlign w:val="center"/>
            <w:hideMark/>
          </w:tcPr>
          <w:p w14:paraId="19738C56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DB7A37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EEC4194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690 079,7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9CD469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234 746,7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38D991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232 503,6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A36ABC6" w14:textId="77777777" w:rsidR="00B711CC" w:rsidRPr="00B711CC" w:rsidRDefault="00B711CC" w:rsidP="00285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222 829,4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E68890C" w14:textId="77777777" w:rsidR="00B711CC" w:rsidRPr="00B711CC" w:rsidRDefault="00B711CC" w:rsidP="0028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ACCC80F" w14:textId="7D23BED0" w:rsidR="00801B40" w:rsidRPr="00801B40" w:rsidRDefault="00801B40" w:rsidP="00285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1B40" w:rsidRPr="00801B40" w:rsidSect="00402AF0">
      <w:pgSz w:w="16838" w:h="11906" w:orient="landscape" w:code="9"/>
      <w:pgMar w:top="1701" w:right="1134" w:bottom="567" w:left="1276" w:header="363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8ABF" w14:textId="77777777" w:rsidR="009E2D25" w:rsidRDefault="009E2D25">
      <w:pPr>
        <w:spacing w:after="0" w:line="240" w:lineRule="auto"/>
      </w:pPr>
      <w:r>
        <w:separator/>
      </w:r>
    </w:p>
  </w:endnote>
  <w:endnote w:type="continuationSeparator" w:id="0">
    <w:p w14:paraId="55641C89" w14:textId="77777777" w:rsidR="009E2D25" w:rsidRDefault="009E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63DE" w14:textId="77777777" w:rsidR="00285234" w:rsidRDefault="0028523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A878" w14:textId="77777777" w:rsidR="009E2D25" w:rsidRDefault="009E2D25">
      <w:pPr>
        <w:spacing w:after="0" w:line="240" w:lineRule="auto"/>
      </w:pPr>
      <w:r>
        <w:separator/>
      </w:r>
    </w:p>
  </w:footnote>
  <w:footnote w:type="continuationSeparator" w:id="0">
    <w:p w14:paraId="4001E347" w14:textId="77777777" w:rsidR="009E2D25" w:rsidRDefault="009E2D25">
      <w:pPr>
        <w:spacing w:after="0" w:line="240" w:lineRule="auto"/>
      </w:pPr>
      <w:r>
        <w:continuationSeparator/>
      </w:r>
    </w:p>
  </w:footnote>
  <w:footnote w:id="1">
    <w:p w14:paraId="374606C8" w14:textId="02DFB48D" w:rsidR="00285234" w:rsidRDefault="00285234">
      <w:pPr>
        <w:pStyle w:val="afa"/>
      </w:pPr>
      <w:r>
        <w:rPr>
          <w:rStyle w:val="afc"/>
        </w:rPr>
        <w:footnoteRef/>
      </w:r>
      <w:r>
        <w:t xml:space="preserve"> </w:t>
      </w:r>
      <w:r w:rsidRPr="000C133A">
        <w:t>Постановление Правительства Пермского края от 28.08.2020 г. № 631-п «Об утверждении Порядка предоставления и расходования субсидий из бюджета Пермского края бюджетам муниципальных районов (муниципальных и городских округов) Пермского края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возраста»</w:t>
      </w:r>
    </w:p>
  </w:footnote>
  <w:footnote w:id="2">
    <w:p w14:paraId="1DECB44C" w14:textId="33A8A377" w:rsidR="00285234" w:rsidRDefault="00285234">
      <w:pPr>
        <w:pStyle w:val="afa"/>
      </w:pPr>
      <w:r>
        <w:rPr>
          <w:rStyle w:val="afc"/>
        </w:rPr>
        <w:footnoteRef/>
      </w:r>
      <w:r>
        <w:t xml:space="preserve"> </w:t>
      </w:r>
      <w:r w:rsidRPr="000C133A">
        <w:t>Постановление Правительства Пермского края от 10.04.2015 г.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</w:t>
      </w:r>
    </w:p>
  </w:footnote>
  <w:footnote w:id="3">
    <w:p w14:paraId="5B77D206" w14:textId="18535462" w:rsidR="00285234" w:rsidRDefault="00285234">
      <w:pPr>
        <w:pStyle w:val="afa"/>
      </w:pPr>
      <w:r>
        <w:rPr>
          <w:rStyle w:val="afc"/>
        </w:rPr>
        <w:footnoteRef/>
      </w:r>
      <w:r>
        <w:t xml:space="preserve"> </w:t>
      </w:r>
      <w:r w:rsidRPr="000C133A">
        <w:t>Постановление Правительства Пермского края от 12.03.2018 г. № 104-п «Об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мероприятий, направленных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и о признании утратившими силу отдельных постановлений Правительства Пермского края»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0A14" w14:textId="77777777" w:rsidR="00285234" w:rsidRDefault="002852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66B0A">
      <w:rPr>
        <w:noProof/>
      </w:rPr>
      <w:t>1</w:t>
    </w:r>
    <w:r>
      <w:fldChar w:fldCharType="end"/>
    </w:r>
  </w:p>
  <w:p w14:paraId="7CE37123" w14:textId="77777777" w:rsidR="00285234" w:rsidRDefault="002852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74486"/>
    <w:multiLevelType w:val="hybridMultilevel"/>
    <w:tmpl w:val="32A8CA0E"/>
    <w:lvl w:ilvl="0" w:tplc="19903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6F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C7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E26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2D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A2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76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D6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1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34D9"/>
    <w:rsid w:val="000C133A"/>
    <w:rsid w:val="000C4950"/>
    <w:rsid w:val="000C4BE9"/>
    <w:rsid w:val="00136F9E"/>
    <w:rsid w:val="001B4686"/>
    <w:rsid w:val="002623B5"/>
    <w:rsid w:val="0028035B"/>
    <w:rsid w:val="002845D4"/>
    <w:rsid w:val="00285234"/>
    <w:rsid w:val="002B306A"/>
    <w:rsid w:val="002D675C"/>
    <w:rsid w:val="00322196"/>
    <w:rsid w:val="00392234"/>
    <w:rsid w:val="003B3CD9"/>
    <w:rsid w:val="00402AF0"/>
    <w:rsid w:val="00407E0B"/>
    <w:rsid w:val="00434901"/>
    <w:rsid w:val="004626DB"/>
    <w:rsid w:val="004B0386"/>
    <w:rsid w:val="0053477E"/>
    <w:rsid w:val="00540799"/>
    <w:rsid w:val="00555F5E"/>
    <w:rsid w:val="005B2C39"/>
    <w:rsid w:val="005B74A4"/>
    <w:rsid w:val="005D5AD6"/>
    <w:rsid w:val="005E489F"/>
    <w:rsid w:val="005F6950"/>
    <w:rsid w:val="006148FC"/>
    <w:rsid w:val="0061603E"/>
    <w:rsid w:val="00623DA5"/>
    <w:rsid w:val="006557E1"/>
    <w:rsid w:val="006A3988"/>
    <w:rsid w:val="006A6CA2"/>
    <w:rsid w:val="006B0C99"/>
    <w:rsid w:val="006B6848"/>
    <w:rsid w:val="00723FC2"/>
    <w:rsid w:val="0079127C"/>
    <w:rsid w:val="007D711B"/>
    <w:rsid w:val="00801B40"/>
    <w:rsid w:val="00806864"/>
    <w:rsid w:val="00845217"/>
    <w:rsid w:val="00883198"/>
    <w:rsid w:val="00902C65"/>
    <w:rsid w:val="00910A38"/>
    <w:rsid w:val="00924417"/>
    <w:rsid w:val="00987B5B"/>
    <w:rsid w:val="00991FBC"/>
    <w:rsid w:val="009D586F"/>
    <w:rsid w:val="009E2D25"/>
    <w:rsid w:val="009E608C"/>
    <w:rsid w:val="009F767C"/>
    <w:rsid w:val="00A124AF"/>
    <w:rsid w:val="00A27C9B"/>
    <w:rsid w:val="00A35C22"/>
    <w:rsid w:val="00AD6B2C"/>
    <w:rsid w:val="00B62E94"/>
    <w:rsid w:val="00B711CC"/>
    <w:rsid w:val="00B83C05"/>
    <w:rsid w:val="00BA28C3"/>
    <w:rsid w:val="00BE604E"/>
    <w:rsid w:val="00C542F7"/>
    <w:rsid w:val="00C66B0A"/>
    <w:rsid w:val="00C91191"/>
    <w:rsid w:val="00CC066D"/>
    <w:rsid w:val="00D27469"/>
    <w:rsid w:val="00D65ED0"/>
    <w:rsid w:val="00D977B8"/>
    <w:rsid w:val="00E01F99"/>
    <w:rsid w:val="00E073C4"/>
    <w:rsid w:val="00E7088A"/>
    <w:rsid w:val="00E71F4F"/>
    <w:rsid w:val="00E932B5"/>
    <w:rsid w:val="00EA013F"/>
    <w:rsid w:val="00EC1B0A"/>
    <w:rsid w:val="00EC2D31"/>
    <w:rsid w:val="00F04EDF"/>
    <w:rsid w:val="00F468A8"/>
    <w:rsid w:val="00F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20B101A-74C7-427B-A092-78A0616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01B4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footer"/>
    <w:basedOn w:val="a"/>
    <w:link w:val="a9"/>
    <w:rsid w:val="00801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801B4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rsid w:val="00801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01B4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801B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Strong"/>
    <w:uiPriority w:val="22"/>
    <w:qFormat/>
    <w:rsid w:val="00801B40"/>
    <w:rPr>
      <w:b/>
      <w:bCs/>
    </w:rPr>
  </w:style>
  <w:style w:type="paragraph" w:styleId="a7">
    <w:name w:val="Body Text"/>
    <w:basedOn w:val="a"/>
    <w:link w:val="ad"/>
    <w:unhideWhenUsed/>
    <w:rsid w:val="00801B40"/>
    <w:pPr>
      <w:spacing w:after="120"/>
    </w:pPr>
  </w:style>
  <w:style w:type="character" w:customStyle="1" w:styleId="ad">
    <w:name w:val="Основной текст Знак"/>
    <w:basedOn w:val="a0"/>
    <w:link w:val="a7"/>
    <w:rsid w:val="00801B40"/>
  </w:style>
  <w:style w:type="paragraph" w:customStyle="1" w:styleId="ae">
    <w:name w:val="регистрационные поля"/>
    <w:basedOn w:val="a"/>
    <w:rsid w:val="00801B4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">
    <w:name w:val="Исполнитель"/>
    <w:basedOn w:val="a7"/>
    <w:rsid w:val="00801B40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1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801B40"/>
    <w:rPr>
      <w:color w:val="0000FF"/>
      <w:u w:val="single"/>
    </w:rPr>
  </w:style>
  <w:style w:type="character" w:styleId="af1">
    <w:name w:val="FollowedHyperlink"/>
    <w:uiPriority w:val="99"/>
    <w:unhideWhenUsed/>
    <w:rsid w:val="00801B40"/>
    <w:rPr>
      <w:color w:val="800080"/>
      <w:u w:val="single"/>
    </w:rPr>
  </w:style>
  <w:style w:type="paragraph" w:customStyle="1" w:styleId="xl65">
    <w:name w:val="xl65"/>
    <w:basedOn w:val="a"/>
    <w:rsid w:val="008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01B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01B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01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01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01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01B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01B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link w:val="af3"/>
    <w:uiPriority w:val="1"/>
    <w:qFormat/>
    <w:rsid w:val="00801B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rsid w:val="00801B4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80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01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rsid w:val="0080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801B40"/>
    <w:rPr>
      <w:sz w:val="16"/>
      <w:szCs w:val="16"/>
    </w:rPr>
  </w:style>
  <w:style w:type="paragraph" w:styleId="af6">
    <w:name w:val="annotation text"/>
    <w:basedOn w:val="a"/>
    <w:link w:val="af7"/>
    <w:rsid w:val="0080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01B4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801B40"/>
    <w:rPr>
      <w:b/>
      <w:bCs/>
    </w:rPr>
  </w:style>
  <w:style w:type="character" w:customStyle="1" w:styleId="af9">
    <w:name w:val="Тема примечания Знак"/>
    <w:basedOn w:val="af7"/>
    <w:link w:val="af8"/>
    <w:rsid w:val="00801B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"/>
    <w:link w:val="afb"/>
    <w:rsid w:val="0080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801B4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rsid w:val="00801B40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987B5B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987B5B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987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D686-1056-4697-8770-5C3204E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11775</Words>
  <Characters>67120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</cp:revision>
  <cp:lastPrinted>2022-09-01T09:10:00Z</cp:lastPrinted>
  <dcterms:created xsi:type="dcterms:W3CDTF">2022-10-26T13:26:00Z</dcterms:created>
  <dcterms:modified xsi:type="dcterms:W3CDTF">2022-10-31T09:20:00Z</dcterms:modified>
</cp:coreProperties>
</file>