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907E1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ge">
                  <wp:posOffset>2449195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DC6" w:rsidRPr="005D5AD6" w:rsidRDefault="007548F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    <v:path arrowok="t"/>
                <v:textbox>
                  <w:txbxContent>
                    <w:p w:rsidR="00B47DC6" w:rsidRPr="005D5AD6" w:rsidRDefault="007548F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3497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2449195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DC6" w:rsidRPr="005D5AD6" w:rsidRDefault="007548F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    <v:path arrowok="t"/>
                <v:textbox>
                  <w:txbxContent>
                    <w:p w:rsidR="00B47DC6" w:rsidRPr="005D5AD6" w:rsidRDefault="007548F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907E1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3716020</wp:posOffset>
                </wp:positionV>
                <wp:extent cx="3013075" cy="18948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075" cy="189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DC6" w:rsidRPr="00912518" w:rsidRDefault="00B47DC6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</w:t>
                            </w:r>
                            <w:bookmarkStart w:id="0" w:name="_GoBack"/>
                            <w:bookmarkEnd w:id="0"/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:rsidR="00B47DC6" w:rsidRPr="00912518" w:rsidRDefault="00B47DC6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:rsidR="00B47DC6" w:rsidRPr="00912518" w:rsidRDefault="00B47DC6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Благоустройство территории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утвержденную постановлением администрации Добрянского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  <w:p w:rsidR="00B47DC6" w:rsidRPr="00555F5E" w:rsidRDefault="00B47DC6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" filled="f" stroked="f" strokeweight=".5pt">
                <v:path arrowok="t"/>
                <v:textbox>
                  <w:txbxContent>
                    <w:p w:rsidR="00B47DC6" w:rsidRPr="00912518" w:rsidRDefault="00B47DC6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внесении измене</w:t>
                      </w:r>
                      <w:bookmarkStart w:id="1" w:name="_GoBack"/>
                      <w:bookmarkEnd w:id="1"/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:rsidR="00B47DC6" w:rsidRPr="00912518" w:rsidRDefault="00B47DC6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:rsidR="00B47DC6" w:rsidRPr="00912518" w:rsidRDefault="00B47DC6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Благоустройство территории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утвержденную постановлением администрации Добрянского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</w:p>
                    <w:p w:rsidR="00B47DC6" w:rsidRPr="00555F5E" w:rsidRDefault="00B47DC6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B64BF7" w:rsidRDefault="00912518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br/>
        <w:t>пунктом 7.</w:t>
      </w:r>
      <w:r w:rsidR="008B7796">
        <w:rPr>
          <w:rFonts w:ascii="Times New Roman" w:eastAsia="Cambria Math" w:hAnsi="Times New Roman" w:cs="Times New Roman"/>
          <w:sz w:val="28"/>
          <w:szCs w:val="28"/>
        </w:rPr>
        <w:t>1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:rsidR="00912518" w:rsidRPr="00912518" w:rsidRDefault="00912518" w:rsidP="00B64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8102A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</w:t>
      </w:r>
      <w:r w:rsidR="008102AF">
        <w:rPr>
          <w:rFonts w:ascii="Times New Roman" w:hAnsi="Times New Roman" w:cs="Times New Roman"/>
          <w:sz w:val="28"/>
          <w:szCs w:val="28"/>
        </w:rPr>
        <w:t>2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0</w:t>
      </w:r>
      <w:r w:rsidR="008102AF">
        <w:rPr>
          <w:rFonts w:ascii="Times New Roman" w:hAnsi="Times New Roman" w:cs="Times New Roman"/>
          <w:sz w:val="28"/>
          <w:szCs w:val="28"/>
        </w:rPr>
        <w:t>1</w:t>
      </w:r>
      <w:r w:rsidR="00B64BF7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3E4EE7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8102AF">
        <w:rPr>
          <w:rFonts w:ascii="Times New Roman" w:hAnsi="Times New Roman" w:cs="Times New Roman"/>
          <w:sz w:val="28"/>
          <w:szCs w:val="28"/>
        </w:rPr>
        <w:t>01 марта</w:t>
      </w:r>
      <w:r w:rsidR="003E4EE7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8102AF">
        <w:rPr>
          <w:rFonts w:ascii="Times New Roman" w:hAnsi="Times New Roman" w:cs="Times New Roman"/>
          <w:sz w:val="28"/>
          <w:szCs w:val="28"/>
        </w:rPr>
        <w:t>478</w:t>
      </w:r>
      <w:r w:rsidR="008B7796">
        <w:rPr>
          <w:rFonts w:ascii="Times New Roman" w:hAnsi="Times New Roman" w:cs="Times New Roman"/>
          <w:sz w:val="28"/>
          <w:szCs w:val="28"/>
        </w:rPr>
        <w:t xml:space="preserve">, от </w:t>
      </w:r>
      <w:r w:rsidR="008102AF">
        <w:rPr>
          <w:rFonts w:ascii="Times New Roman" w:hAnsi="Times New Roman" w:cs="Times New Roman"/>
          <w:sz w:val="28"/>
          <w:szCs w:val="28"/>
        </w:rPr>
        <w:t>07 июля 2023 г. № 2067</w:t>
      </w:r>
      <w:r w:rsidR="003E4EE7">
        <w:rPr>
          <w:rFonts w:ascii="Times New Roman" w:hAnsi="Times New Roman" w:cs="Times New Roman"/>
          <w:sz w:val="28"/>
          <w:szCs w:val="28"/>
        </w:rPr>
        <w:t>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9125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3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E5FB1" w:rsidRPr="00B64BF7" w:rsidRDefault="00965B30" w:rsidP="00B64BF7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4A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4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D125B4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 w:rsidR="00D125B4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="00D125B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2518" w:rsidRDefault="00E71E7B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. </w:t>
      </w:r>
      <w:r w:rsidR="00911818">
        <w:rPr>
          <w:rFonts w:ascii="Times New Roman" w:hAnsi="Times New Roman" w:cs="Times New Roman"/>
          <w:sz w:val="28"/>
          <w:szCs w:val="28"/>
        </w:rPr>
        <w:t>П</w:t>
      </w:r>
      <w:r w:rsidR="00912518" w:rsidRPr="00912518">
        <w:rPr>
          <w:rFonts w:ascii="Times New Roman" w:hAnsi="Times New Roman" w:cs="Times New Roman"/>
          <w:sz w:val="28"/>
          <w:szCs w:val="28"/>
        </w:rPr>
        <w:t>аспорт</w:t>
      </w:r>
      <w:r w:rsidR="00965B3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, изложить в </w:t>
      </w:r>
      <w:r w:rsidR="00911818">
        <w:rPr>
          <w:rFonts w:ascii="Times New Roman" w:hAnsi="Times New Roman" w:cs="Times New Roman"/>
          <w:sz w:val="28"/>
          <w:szCs w:val="28"/>
        </w:rPr>
        <w:t>новой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11818" w:rsidRDefault="00911818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842"/>
        <w:gridCol w:w="709"/>
        <w:gridCol w:w="142"/>
        <w:gridCol w:w="567"/>
        <w:gridCol w:w="709"/>
        <w:gridCol w:w="435"/>
        <w:gridCol w:w="416"/>
        <w:gridCol w:w="713"/>
        <w:gridCol w:w="138"/>
        <w:gridCol w:w="854"/>
        <w:gridCol w:w="854"/>
        <w:gridCol w:w="144"/>
        <w:gridCol w:w="992"/>
        <w:gridCol w:w="992"/>
      </w:tblGrid>
      <w:tr w:rsidR="00D125B4" w:rsidRPr="000344B0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</w:tr>
      <w:tr w:rsidR="00D125B4" w:rsidRPr="006B3E31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хозяйства и благоустройства администрации Добрянского городского округа </w:t>
            </w:r>
          </w:p>
        </w:tc>
      </w:tr>
      <w:tr w:rsidR="00D125B4" w:rsidRPr="006B3E31" w:rsidTr="00D125B4">
        <w:trPr>
          <w:trHeight w:val="485"/>
        </w:trPr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Добрянского городского округа </w:t>
            </w:r>
          </w:p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в р.п. Полазна администрации Добрянского городского округа</w:t>
            </w:r>
          </w:p>
        </w:tc>
      </w:tr>
      <w:tr w:rsidR="00D125B4" w:rsidRPr="006B3E31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строительства»</w:t>
            </w:r>
          </w:p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МБУ «Приоритет»</w:t>
            </w:r>
          </w:p>
        </w:tc>
      </w:tr>
      <w:tr w:rsidR="00D125B4" w:rsidRPr="006B3E31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с 01.01.2023 по 31.12.202</w:t>
            </w:r>
            <w:r w:rsidR="00810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</w:p>
          <w:p w:rsidR="00D125B4" w:rsidRPr="00D125B4" w:rsidRDefault="00D125B4" w:rsidP="00D125B4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Программа не имеет строгого разделения на этапы, мероприятия реализуются на протяжении всего срока действия Программы.</w:t>
            </w:r>
          </w:p>
        </w:tc>
      </w:tr>
      <w:tr w:rsidR="00D125B4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 Цель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благоприятных и комфортных условий проживания населения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Добрянского городского округа.</w:t>
            </w:r>
          </w:p>
        </w:tc>
      </w:tr>
      <w:tr w:rsidR="00D125B4" w:rsidRPr="006B3E31" w:rsidTr="00D125B4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 Задача программы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 краевого уровня</w:t>
            </w:r>
          </w:p>
        </w:tc>
      </w:tr>
      <w:tr w:rsidR="00D125B4" w:rsidRPr="006B3E31" w:rsidTr="00D125B4">
        <w:trPr>
          <w:trHeight w:val="449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начало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 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целевого показателя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программы                        </w:t>
            </w:r>
          </w:p>
        </w:tc>
      </w:tr>
      <w:tr w:rsidR="00D125B4" w:rsidRPr="001B016B" w:rsidTr="00D125B4">
        <w:trPr>
          <w:trHeight w:val="864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2026 г.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B4" w:rsidRPr="006B3E31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D125B4" w:rsidRPr="00386D5D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(вырубленных)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аварийных деревьев, представляющих опасность для населения, путем спиливания (вырубки) к концу реализации программы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</w:tc>
      </w:tr>
      <w:tr w:rsidR="00D125B4" w:rsidRPr="00386D5D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клумб и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вазонов, охваченных цветочными посадками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510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2268,3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2268,3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2268,3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171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Сохранение  </w:t>
            </w: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площади, охваченной цветочными посадками 2268,3 ежегодно</w:t>
            </w:r>
          </w:p>
        </w:tc>
      </w:tr>
      <w:tr w:rsidR="00D125B4" w:rsidRPr="00386D5D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Площадь земельных участков, на которых будет ежегодно проведена акарицидная обработка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131,7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Сохранение площади земельных участков, на которых будет проведена акарицидная обработка не менее 131,7 га ежегодно</w:t>
            </w:r>
          </w:p>
        </w:tc>
      </w:tr>
      <w:tr w:rsidR="00D125B4" w:rsidRPr="00386D5D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на которых будет ежегодно проведена дератизационная обработка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131,7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Сохранение площади земельных участков, на которых будет ежегодно проведена дератизационная обработка не менее 131,7 га до конца реализации программы</w:t>
            </w:r>
          </w:p>
        </w:tc>
      </w:tr>
      <w:tr w:rsidR="00D125B4" w:rsidRPr="00386D5D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по реконструкции набережной в г. Добрянка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017B75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Наличие проектной документации по реконструкции набережной г. Добрянка, ед.;</w:t>
            </w:r>
          </w:p>
        </w:tc>
      </w:tr>
      <w:tr w:rsidR="000E4946" w:rsidRPr="00386D5D" w:rsidTr="000E4946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D125B4" w:rsidRDefault="000E4946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D125B4" w:rsidRDefault="000E4946" w:rsidP="000E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 доступа к сети «Интернет» на муниципальных территориях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Default="000E4946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46" w:rsidRPr="00D125B4" w:rsidRDefault="000E4946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D125B4" w:rsidRDefault="000E4946" w:rsidP="000E4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точек доступа к сети "Интернет" на муниципальных территориях общего пользования не менее  2 ед. ежегодно</w:t>
            </w:r>
          </w:p>
        </w:tc>
      </w:tr>
      <w:tr w:rsidR="00907E1D" w:rsidRPr="00386D5D" w:rsidTr="000E4946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D" w:rsidRPr="00907E1D" w:rsidRDefault="00907E1D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D" w:rsidRDefault="00907E1D" w:rsidP="000E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гидротехнических сооружений (ГТС)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D" w:rsidRDefault="00907E1D" w:rsidP="000E49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D" w:rsidRDefault="00907E1D" w:rsidP="0090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Получение лицензии для безопасной эксплуатации ГТС 2 ед. в 2023 году</w:t>
            </w:r>
          </w:p>
        </w:tc>
      </w:tr>
      <w:tr w:rsidR="00D125B4" w:rsidRPr="009A23AB" w:rsidTr="00D125B4">
        <w:trPr>
          <w:trHeight w:val="20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2. Задача программы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</w:p>
        </w:tc>
      </w:tr>
      <w:tr w:rsidR="00D125B4" w:rsidRPr="001B016B" w:rsidTr="00D125B4">
        <w:trPr>
          <w:trHeight w:val="1451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площадок накопления твердых коммунальных отходов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4A7" w:rsidRDefault="00D324A7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4A7" w:rsidRDefault="00D324A7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4A7" w:rsidRPr="00D125B4" w:rsidRDefault="00D324A7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3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24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324A7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68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Обустроить к концу  202</w:t>
            </w:r>
            <w:r w:rsidR="00686E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 года площадки накопления твердых коммунальных отходов в количестве  </w:t>
            </w:r>
            <w:r w:rsidR="00D324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</w:tc>
      </w:tr>
      <w:tr w:rsidR="00D125B4" w:rsidRPr="005A7E58" w:rsidTr="00D125B4">
        <w:trPr>
          <w:trHeight w:val="353"/>
        </w:trPr>
        <w:tc>
          <w:tcPr>
            <w:tcW w:w="2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3. Задача программы </w:t>
            </w:r>
          </w:p>
        </w:tc>
        <w:tc>
          <w:tcPr>
            <w:tcW w:w="76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санитарно-экологической обстановки в округе</w:t>
            </w:r>
          </w:p>
        </w:tc>
      </w:tr>
      <w:tr w:rsidR="00D125B4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Объем ликвидированных несанкционированных свалок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не менее 4000 куб м. ежегодно</w:t>
            </w:r>
          </w:p>
        </w:tc>
      </w:tr>
      <w:tr w:rsidR="00D125B4" w:rsidRPr="005A7E58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животных без владельцев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динамики роста количества безнадзорных и бездомных животных ежегодно на 83особи</w:t>
            </w:r>
          </w:p>
        </w:tc>
      </w:tr>
      <w:tr w:rsidR="00D125B4" w:rsidRPr="003D4F54" w:rsidTr="00D125B4">
        <w:trPr>
          <w:trHeight w:val="20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 Задача программы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Мониторинг состояния окружающей среды (негативное влияние на окружающую среду, углеродный след;</w:t>
            </w:r>
          </w:p>
        </w:tc>
      </w:tr>
      <w:tr w:rsidR="00D125B4" w:rsidTr="00D125B4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Мониторинг полигона твердых бытовых отходов в р.п. Полазна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Ежеквартальное проведение мониторинга  полигона твердых бытовых отходов и разработка рекомендаций по его эксплуатации в целях сокращения негативного воздействия хозяйственной деятельности на окружающую среду</w:t>
            </w:r>
          </w:p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AF" w:rsidRPr="003D4F54" w:rsidTr="00C73B67">
        <w:trPr>
          <w:trHeight w:val="20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AF" w:rsidRPr="00D125B4" w:rsidRDefault="008102AF" w:rsidP="00D12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</w:pPr>
            <w:r w:rsidRPr="00D125B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t>5. Задача программы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AF" w:rsidRPr="00D125B4" w:rsidRDefault="008102AF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</w:tc>
      </w:tr>
      <w:tr w:rsidR="00D125B4" w:rsidTr="00790791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 оплату за потребляемую электрическую электроэнергию сетей наружного освещения,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освещения путем исполнения 2 договоров, заключенных на данные цели</w:t>
            </w:r>
          </w:p>
        </w:tc>
      </w:tr>
      <w:tr w:rsidR="00D125B4" w:rsidRPr="00907AE9" w:rsidTr="00790791">
        <w:trPr>
          <w:trHeight w:val="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и (или) вновь устроенных линий сети наружного освещения на территории округа, км.;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D125B4" w:rsidRPr="00D125B4" w:rsidRDefault="00D125B4" w:rsidP="00D1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79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810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линий сети наружного освещения на территории округа, до </w:t>
            </w:r>
            <w:r w:rsidR="00810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02AF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634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к концу реализации программы;</w:t>
            </w:r>
          </w:p>
        </w:tc>
      </w:tr>
      <w:tr w:rsidR="00D125B4" w:rsidTr="00B47DC6">
        <w:trPr>
          <w:trHeight w:val="232"/>
        </w:trPr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790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4" w:rsidRPr="00D125B4" w:rsidRDefault="00D125B4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B47DC6" w:rsidTr="00B47DC6">
        <w:trPr>
          <w:trHeight w:val="230"/>
        </w:trPr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293 968,2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55 858,8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72 218,9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83 154,4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82 736,1</w:t>
            </w:r>
          </w:p>
        </w:tc>
      </w:tr>
      <w:tr w:rsidR="00B47DC6" w:rsidTr="00B47DC6">
        <w:trPr>
          <w:trHeight w:val="230"/>
        </w:trPr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47DC6" w:rsidTr="00B47DC6">
        <w:trPr>
          <w:trHeight w:val="230"/>
        </w:trPr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22 807,1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1 813,0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11 681,5</w:t>
            </w:r>
          </w:p>
        </w:tc>
      </w:tr>
      <w:tr w:rsidR="00B47DC6" w:rsidTr="00B47DC6">
        <w:trPr>
          <w:trHeight w:val="230"/>
        </w:trPr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269 917,7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52 802,4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71 054,6</w:t>
            </w:r>
          </w:p>
        </w:tc>
      </w:tr>
      <w:tr w:rsidR="00B47DC6" w:rsidTr="00B47DC6">
        <w:trPr>
          <w:trHeight w:val="230"/>
        </w:trPr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D125B4" w:rsidRDefault="00B47DC6" w:rsidP="00D125B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</w:tbl>
    <w:p w:rsidR="00911818" w:rsidRDefault="00911818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footerReference w:type="default" r:id="rId10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EDA" w:rsidRPr="003E7745" w:rsidRDefault="00A33EDA" w:rsidP="00790791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102A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0E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9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02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02A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 «</w:t>
      </w:r>
      <w:r w:rsidR="008102AF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842B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0E494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C253D0" w:rsidRDefault="00BC4AFC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rPr>
          <w:rFonts w:eastAsia="Times New Roman"/>
          <w:lang w:eastAsia="en-US"/>
        </w:rPr>
        <w:fldChar w:fldCharType="begin"/>
      </w:r>
      <w:r w:rsidR="00C253D0">
        <w:rPr>
          <w:rFonts w:eastAsia="Times New Roman"/>
          <w:lang w:eastAsia="en-US"/>
        </w:rPr>
        <w:instrText xml:space="preserve"> LINK </w:instrText>
      </w:r>
      <w:r w:rsidR="00DD0AC8">
        <w:rPr>
          <w:rFonts w:eastAsia="Times New Roman"/>
          <w:lang w:eastAsia="en-US"/>
        </w:rPr>
        <w:instrText xml:space="preserve">Excel.Sheet.8 "C:\\Users\\User\\Desktop\\Благоустройство исправленная\\Программа Благоустройство 2024-2026 Решение 816..xlsx" Лист1!Область_печати </w:instrText>
      </w:r>
      <w:r w:rsidR="00C253D0">
        <w:rPr>
          <w:rFonts w:eastAsia="Times New Roman"/>
          <w:lang w:eastAsia="en-US"/>
        </w:rPr>
        <w:instrText xml:space="preserve">\a \f 4 \h </w:instrText>
      </w:r>
      <w:r w:rsidR="00B90DA9">
        <w:rPr>
          <w:rFonts w:eastAsia="Times New Roman"/>
          <w:lang w:eastAsia="en-US"/>
        </w:rPr>
        <w:instrText xml:space="preserve"> \* MERGEFORMAT </w:instrText>
      </w:r>
      <w:r>
        <w:rPr>
          <w:rFonts w:eastAsia="Times New Roman"/>
          <w:lang w:eastAsia="en-US"/>
        </w:rPr>
        <w:fldChar w:fldCharType="separate"/>
      </w:r>
      <w:bookmarkStart w:id="2" w:name="RANGE!A1:R87"/>
    </w:p>
    <w:bookmarkEnd w:id="2"/>
    <w:p w:rsidR="00B47DC6" w:rsidRPr="001B39E8" w:rsidRDefault="00BC4AFC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fldChar w:fldCharType="end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60"/>
        <w:gridCol w:w="1133"/>
        <w:gridCol w:w="1258"/>
        <w:gridCol w:w="760"/>
        <w:gridCol w:w="675"/>
        <w:gridCol w:w="709"/>
        <w:gridCol w:w="1276"/>
        <w:gridCol w:w="1134"/>
        <w:gridCol w:w="993"/>
        <w:gridCol w:w="952"/>
        <w:gridCol w:w="992"/>
        <w:gridCol w:w="993"/>
        <w:gridCol w:w="2449"/>
      </w:tblGrid>
      <w:tr w:rsidR="00B47DC6" w:rsidRPr="00B47DC6" w:rsidTr="00B47DC6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1:N94"/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  <w:bookmarkEnd w:id="3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B47DC6" w:rsidRPr="00B47DC6" w:rsidTr="00B47DC6">
        <w:trPr>
          <w:trHeight w:val="10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2026г.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47DC6" w:rsidRPr="00B47DC6" w:rsidTr="00790791">
        <w:trPr>
          <w:trHeight w:val="466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Создание благоприятных и комфортных условий проживания населения на территории Добрянского городского округа.</w:t>
            </w:r>
          </w:p>
        </w:tc>
      </w:tr>
      <w:tr w:rsidR="00B47DC6" w:rsidRPr="00B47DC6" w:rsidTr="00790791">
        <w:trPr>
          <w:trHeight w:val="1545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ЗАДАЧИ: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</w:p>
        </w:tc>
      </w:tr>
      <w:tr w:rsidR="00B47DC6" w:rsidRPr="00B47DC6" w:rsidTr="00790791">
        <w:trPr>
          <w:trHeight w:val="10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"Благоустройство территории городского округа"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178 624,9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34 352,1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39 892,0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48 471,6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55 909,2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B47DC6" w:rsidRPr="00B47DC6" w:rsidTr="00790791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18 346,5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5 890,9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10 612,5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159 035,0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32 550,5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42 580,7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45 296,7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Обустройство  6 санитарно-защитных зоны кладбищ к концу реализации программы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11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146 370,7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30 354,0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38 720,5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41 720,5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Снижение количества аварийных деревьев, представляющих опасность для населения, путем спиливания (вырубки) к концу реализации программы до 480 ед.;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Сохранение площади, охваченной цветочными посадками 2 268,3 кв. м ежегодно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Сохранение площади земельных участков, на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которых будет проведена акарицидная обработка не менее 131,7 га ежегодно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Сохранение площади земельных участков, на которых будет проведена дератизационная обработка не менее 131,7 га ежегодно;                                       Ликвидация несанкционированных свалок не менее 4000 куб м. ежегодно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146 370,7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30 354,0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38 720,5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41 720,5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100 907,7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21 216,9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26 761,0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100 907,7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21 216,9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26 761,0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9 057,1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14 879,5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9 057,1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14 879,5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790791">
        <w:trPr>
          <w:trHeight w:val="1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Формирование ИТ-инфраструтуры на муниципальных территориях общего пользования для обеспечения доступа к сети "Интернет"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79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точек доступа к сети "Интернет" на муниципальных территориях общего пользования ежегодно в количестве 2 ед.</w:t>
            </w:r>
          </w:p>
        </w:tc>
      </w:tr>
      <w:tr w:rsidR="00B47DC6" w:rsidRPr="00B47DC6" w:rsidTr="00790791">
        <w:trPr>
          <w:trHeight w:val="99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эксплуатации гитротехнических сооружений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Получение лицензии для безопасной эксплуатации ГТС 2 ед. в 2023 году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15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Реализация мероприятий, направленных на комплексное развитие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сельских территорий (Благоустройство сельских территорий)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УЖКХиБ/ ОЖКХ в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1 867,0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13 448,2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2026 года площадки накопления твердых коммунальных отходов в количестве  45 ед.;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18 346,5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5 890,9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10 612,5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15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13 448,2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5 890,9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10 612,5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Реализация мероприятий, направленных на комплексное развитие сельских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территорий (Благоустройство сельских территорий)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ОЖКХ в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АДГО/УЖКХ и 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линий сети наружного освещения на территории округа, до 81,9 км. к концу реализации программы             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УКС)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 (МБУ "Благоустройство")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документации, проведение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изыскательских работ  по реконструкции набережной в г.Добрянка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«УКС»)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1100128110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проектной документации по реконструкции набережной г. Добрянка, </w:t>
            </w: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</w:t>
            </w:r>
            <w:r w:rsidRPr="00B4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.;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8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Задача: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</w:tc>
      </w:tr>
      <w:tr w:rsidR="00B47DC6" w:rsidRPr="00B47DC6" w:rsidTr="00B47DC6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"Наружное освещение на территории городского округа"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99 183,0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25 537,2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Приведение в нормативное состояние линий сети наружного освещения на территории округа, до 81,9 км. к концу реализации программы                                                                                                             Обеспечение наружного освещения путем исполнения 2 договоров, заключенных на данные цели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99 183,0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25 537,2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8 237,2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6 433,3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62 644,9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17 300,0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62 644,9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17 300,0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43 850,5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43 850,5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5 700,0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5 700,0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УКС)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147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Задача: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Мониторинг состояния окружающей среды (негативное влияние на окружающую среду, углеродный след);</w:t>
            </w:r>
          </w:p>
        </w:tc>
      </w:tr>
      <w:tr w:rsidR="00B47DC6" w:rsidRPr="00B47DC6" w:rsidTr="00B47DC6">
        <w:trPr>
          <w:trHeight w:val="12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"Организация системы экологической обстановки на территории городского округа"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1 289,7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1 069,0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1100500120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Ежеквартальное проведение мониторинга полигона твердых бытовых отходов и разработка рекомендаций по его эксплуатации в целях сокращения негативного воздействия хозяйственной деятельности на окружающую среду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Устройство площадок накопления твердых бытовых отходов на територии Добрянского </w:t>
            </w: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1100500210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2026 года площадки накопления твердых коммунальных отходов в количестве  45 ед.;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динамики роста количества безнадзорных и бездомных животных ежегодно на 83особи 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9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11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3.4.1.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6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C6" w:rsidRPr="00B47DC6" w:rsidRDefault="00B47DC6" w:rsidP="00B47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293 968,2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55 858,8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83 154,4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82 736,1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D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DC6" w:rsidRPr="00B47DC6" w:rsidTr="00B47DC6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1 813,0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11 681,5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DC6" w:rsidRPr="00B47DC6" w:rsidTr="00B47DC6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269 917,7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52 802,4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71 054,6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DC6" w:rsidRPr="00B47DC6" w:rsidTr="00B47DC6">
        <w:trPr>
          <w:trHeight w:val="510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47DC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C6" w:rsidRPr="00B47DC6" w:rsidRDefault="00B47DC6" w:rsidP="00B47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24A7" w:rsidRPr="001B39E8" w:rsidRDefault="00D324A7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2C3CE1" w:rsidRPr="00912518" w:rsidRDefault="002C3CE1" w:rsidP="002C3CE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 (ред. от 03.08.2022);</w:t>
      </w:r>
    </w:p>
    <w:p w:rsidR="002C3CE1" w:rsidRDefault="002C3CE1" w:rsidP="002C3CE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** Постановление Правительства Пермского края от 22 июня 2016 г. № 384-п «Об утверждении Порядка предоставления и расходования субвенций из бюджета Пермского края бюджетам городских (сельских)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животных» (ред. от 22.04.2020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125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518" w:rsidRPr="001B39E8" w:rsidRDefault="00912518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sectPr w:rsidR="00912518" w:rsidRPr="001B39E8" w:rsidSect="00C253D0">
      <w:pgSz w:w="16838" w:h="11906" w:orient="landscape"/>
      <w:pgMar w:top="567" w:right="127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C2" w:rsidRDefault="00571AC2">
      <w:pPr>
        <w:spacing w:after="0" w:line="240" w:lineRule="auto"/>
      </w:pPr>
      <w:r>
        <w:separator/>
      </w:r>
    </w:p>
  </w:endnote>
  <w:endnote w:type="continuationSeparator" w:id="0">
    <w:p w:rsidR="00571AC2" w:rsidRDefault="0057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C6" w:rsidRDefault="00B47DC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C2" w:rsidRDefault="00571AC2">
      <w:pPr>
        <w:spacing w:after="0" w:line="240" w:lineRule="auto"/>
      </w:pPr>
      <w:r>
        <w:separator/>
      </w:r>
    </w:p>
  </w:footnote>
  <w:footnote w:type="continuationSeparator" w:id="0">
    <w:p w:rsidR="00571AC2" w:rsidRDefault="0057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C6" w:rsidRPr="00E452A4" w:rsidRDefault="00B47DC6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7548FD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B47DC6" w:rsidRDefault="00B47D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7B75"/>
    <w:rsid w:val="00071763"/>
    <w:rsid w:val="00074AF7"/>
    <w:rsid w:val="000934D9"/>
    <w:rsid w:val="000B0766"/>
    <w:rsid w:val="000B320D"/>
    <w:rsid w:val="000B59E9"/>
    <w:rsid w:val="000D5026"/>
    <w:rsid w:val="000E4946"/>
    <w:rsid w:val="000F17C1"/>
    <w:rsid w:val="00117F1E"/>
    <w:rsid w:val="00136F9E"/>
    <w:rsid w:val="00142B01"/>
    <w:rsid w:val="001644E3"/>
    <w:rsid w:val="0017618B"/>
    <w:rsid w:val="001B39E8"/>
    <w:rsid w:val="001B6A19"/>
    <w:rsid w:val="0020063F"/>
    <w:rsid w:val="00210F60"/>
    <w:rsid w:val="00212128"/>
    <w:rsid w:val="002623B5"/>
    <w:rsid w:val="002636B4"/>
    <w:rsid w:val="00277679"/>
    <w:rsid w:val="0028035B"/>
    <w:rsid w:val="002845D4"/>
    <w:rsid w:val="002B4739"/>
    <w:rsid w:val="002B51D7"/>
    <w:rsid w:val="002C206E"/>
    <w:rsid w:val="002C3CE1"/>
    <w:rsid w:val="00322196"/>
    <w:rsid w:val="00366EBA"/>
    <w:rsid w:val="003A2672"/>
    <w:rsid w:val="003A6014"/>
    <w:rsid w:val="003B3CD9"/>
    <w:rsid w:val="003C6C37"/>
    <w:rsid w:val="003D67B1"/>
    <w:rsid w:val="003E4EE7"/>
    <w:rsid w:val="003F1329"/>
    <w:rsid w:val="0040070B"/>
    <w:rsid w:val="00407E0B"/>
    <w:rsid w:val="0043446D"/>
    <w:rsid w:val="00441340"/>
    <w:rsid w:val="004452C8"/>
    <w:rsid w:val="00445E1F"/>
    <w:rsid w:val="00451B94"/>
    <w:rsid w:val="004626DB"/>
    <w:rsid w:val="00484833"/>
    <w:rsid w:val="004920CD"/>
    <w:rsid w:val="004B0386"/>
    <w:rsid w:val="004C358C"/>
    <w:rsid w:val="004E4546"/>
    <w:rsid w:val="004E59E2"/>
    <w:rsid w:val="004F3305"/>
    <w:rsid w:val="00531D94"/>
    <w:rsid w:val="00555F5E"/>
    <w:rsid w:val="00571AC2"/>
    <w:rsid w:val="00577A42"/>
    <w:rsid w:val="00592DAD"/>
    <w:rsid w:val="005A74BE"/>
    <w:rsid w:val="005B26A2"/>
    <w:rsid w:val="005D3A91"/>
    <w:rsid w:val="005D5AD6"/>
    <w:rsid w:val="005E5FB1"/>
    <w:rsid w:val="005F50BD"/>
    <w:rsid w:val="00623DA5"/>
    <w:rsid w:val="006249D4"/>
    <w:rsid w:val="00634AE3"/>
    <w:rsid w:val="00647F0E"/>
    <w:rsid w:val="006557E1"/>
    <w:rsid w:val="00673145"/>
    <w:rsid w:val="00673F19"/>
    <w:rsid w:val="00686EBF"/>
    <w:rsid w:val="0069510B"/>
    <w:rsid w:val="006A6CA2"/>
    <w:rsid w:val="006B56AA"/>
    <w:rsid w:val="006D3E1F"/>
    <w:rsid w:val="006E5D9C"/>
    <w:rsid w:val="006E7EFB"/>
    <w:rsid w:val="006F04CD"/>
    <w:rsid w:val="00711763"/>
    <w:rsid w:val="00727022"/>
    <w:rsid w:val="007548FD"/>
    <w:rsid w:val="00777643"/>
    <w:rsid w:val="00790791"/>
    <w:rsid w:val="0079127C"/>
    <w:rsid w:val="007A2946"/>
    <w:rsid w:val="007A2BF4"/>
    <w:rsid w:val="007A49BC"/>
    <w:rsid w:val="007B6045"/>
    <w:rsid w:val="007C08DB"/>
    <w:rsid w:val="007C320D"/>
    <w:rsid w:val="007C5CB5"/>
    <w:rsid w:val="007C7BCD"/>
    <w:rsid w:val="007D16AE"/>
    <w:rsid w:val="007D2379"/>
    <w:rsid w:val="007F47C5"/>
    <w:rsid w:val="007F746A"/>
    <w:rsid w:val="00807D04"/>
    <w:rsid w:val="008102AF"/>
    <w:rsid w:val="008112DA"/>
    <w:rsid w:val="00820D0B"/>
    <w:rsid w:val="00827877"/>
    <w:rsid w:val="00842BC5"/>
    <w:rsid w:val="00851E0B"/>
    <w:rsid w:val="008B7796"/>
    <w:rsid w:val="008C5C4E"/>
    <w:rsid w:val="008E44E5"/>
    <w:rsid w:val="008F323A"/>
    <w:rsid w:val="00902184"/>
    <w:rsid w:val="00905C34"/>
    <w:rsid w:val="00907E1D"/>
    <w:rsid w:val="00911818"/>
    <w:rsid w:val="00912518"/>
    <w:rsid w:val="00940179"/>
    <w:rsid w:val="009442A3"/>
    <w:rsid w:val="00965B30"/>
    <w:rsid w:val="009914AD"/>
    <w:rsid w:val="009A6E3C"/>
    <w:rsid w:val="009C6D3C"/>
    <w:rsid w:val="009D26BA"/>
    <w:rsid w:val="009D586F"/>
    <w:rsid w:val="009E6A95"/>
    <w:rsid w:val="009F767C"/>
    <w:rsid w:val="00A1041B"/>
    <w:rsid w:val="00A124AF"/>
    <w:rsid w:val="00A24D20"/>
    <w:rsid w:val="00A33EDA"/>
    <w:rsid w:val="00A34ABE"/>
    <w:rsid w:val="00A35C22"/>
    <w:rsid w:val="00A70CA4"/>
    <w:rsid w:val="00A75F5C"/>
    <w:rsid w:val="00AA7E06"/>
    <w:rsid w:val="00AD1EEA"/>
    <w:rsid w:val="00AD6B2C"/>
    <w:rsid w:val="00AD6CE8"/>
    <w:rsid w:val="00AE034F"/>
    <w:rsid w:val="00B47DC6"/>
    <w:rsid w:val="00B61B1C"/>
    <w:rsid w:val="00B64BF7"/>
    <w:rsid w:val="00B673D8"/>
    <w:rsid w:val="00B83C05"/>
    <w:rsid w:val="00B90DA9"/>
    <w:rsid w:val="00BC4AFC"/>
    <w:rsid w:val="00BE39F0"/>
    <w:rsid w:val="00C10424"/>
    <w:rsid w:val="00C12ADB"/>
    <w:rsid w:val="00C17470"/>
    <w:rsid w:val="00C253D0"/>
    <w:rsid w:val="00C26B5F"/>
    <w:rsid w:val="00C47576"/>
    <w:rsid w:val="00C542F7"/>
    <w:rsid w:val="00C6086E"/>
    <w:rsid w:val="00C60E3D"/>
    <w:rsid w:val="00C61357"/>
    <w:rsid w:val="00C65ADF"/>
    <w:rsid w:val="00C7003D"/>
    <w:rsid w:val="00C73B67"/>
    <w:rsid w:val="00C83472"/>
    <w:rsid w:val="00C91191"/>
    <w:rsid w:val="00D01B54"/>
    <w:rsid w:val="00D12016"/>
    <w:rsid w:val="00D125B4"/>
    <w:rsid w:val="00D16175"/>
    <w:rsid w:val="00D27469"/>
    <w:rsid w:val="00D324A7"/>
    <w:rsid w:val="00D32775"/>
    <w:rsid w:val="00D428DF"/>
    <w:rsid w:val="00D977B8"/>
    <w:rsid w:val="00DA4009"/>
    <w:rsid w:val="00DC485D"/>
    <w:rsid w:val="00DD0AC8"/>
    <w:rsid w:val="00DE4D17"/>
    <w:rsid w:val="00E01F99"/>
    <w:rsid w:val="00E36E63"/>
    <w:rsid w:val="00E7088A"/>
    <w:rsid w:val="00E71E7B"/>
    <w:rsid w:val="00E71F4F"/>
    <w:rsid w:val="00E932B5"/>
    <w:rsid w:val="00E9480E"/>
    <w:rsid w:val="00EA013F"/>
    <w:rsid w:val="00EC1B0A"/>
    <w:rsid w:val="00EF2913"/>
    <w:rsid w:val="00F35057"/>
    <w:rsid w:val="00F40743"/>
    <w:rsid w:val="00F55A8E"/>
    <w:rsid w:val="00F57681"/>
    <w:rsid w:val="00FC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E9F7-852D-49CF-83E5-ECF1EE2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3D0B-08C1-4A90-BC49-E934CAF9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2023-10-21T05:55:00Z</cp:lastPrinted>
  <dcterms:created xsi:type="dcterms:W3CDTF">2023-10-27T08:17:00Z</dcterms:created>
  <dcterms:modified xsi:type="dcterms:W3CDTF">2023-11-01T03:44:00Z</dcterms:modified>
</cp:coreProperties>
</file>